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D37E6" w14:textId="7934B38A" w:rsidR="00B12470" w:rsidRPr="00B12470" w:rsidRDefault="00B12470" w:rsidP="00B12470">
      <w:pPr>
        <w:spacing w:line="276" w:lineRule="auto"/>
        <w:jc w:val="center"/>
        <w:rPr>
          <w:b/>
          <w:bCs/>
          <w:u w:val="single"/>
        </w:rPr>
      </w:pPr>
      <w:r w:rsidRPr="00B12470">
        <w:rPr>
          <w:b/>
          <w:bCs/>
          <w:u w:val="single"/>
        </w:rPr>
        <w:t>CONCLUSIONES</w:t>
      </w:r>
    </w:p>
    <w:p w14:paraId="1C0D2E60" w14:textId="4ADE4FEE" w:rsidR="003F3FE8" w:rsidRDefault="003F3FE8" w:rsidP="003F3FE8">
      <w:pPr>
        <w:spacing w:line="276" w:lineRule="auto"/>
        <w:jc w:val="both"/>
      </w:pPr>
      <w:r>
        <w:tab/>
        <w:t xml:space="preserve">Si comparamos el año 2019 con respecto al 2018, es posible observar que el Índice de Competitividad creció un 1,95%, es decir, los productos salteños mejoraron su capacidad </w:t>
      </w:r>
      <w:r w:rsidR="00E06180">
        <w:t>de participación</w:t>
      </w:r>
      <w:r>
        <w:t xml:space="preserve"> en los mercados.</w:t>
      </w:r>
    </w:p>
    <w:p w14:paraId="40B8D9FD" w14:textId="77777777" w:rsidR="003F3FE8" w:rsidRDefault="003F3FE8" w:rsidP="003F3FE8">
      <w:pPr>
        <w:spacing w:line="276" w:lineRule="auto"/>
        <w:jc w:val="both"/>
      </w:pPr>
      <w:r>
        <w:tab/>
        <w:t>La principal causa por la cual aumentó el IC (Índice de Competitividad)</w:t>
      </w:r>
      <w:r w:rsidRPr="0069749E">
        <w:t xml:space="preserve"> se debe al</w:t>
      </w:r>
      <w:r>
        <w:t xml:space="preserve"> mejoramiento </w:t>
      </w:r>
      <w:r w:rsidRPr="0069749E">
        <w:t xml:space="preserve">de </w:t>
      </w:r>
      <w:r w:rsidR="00ED3DB2">
        <w:t>tres</w:t>
      </w:r>
      <w:r w:rsidRPr="0069749E">
        <w:t xml:space="preserve"> dimensiones</w:t>
      </w:r>
      <w:r w:rsidR="00A52C4E">
        <w:t xml:space="preserve"> </w:t>
      </w:r>
      <w:r w:rsidRPr="0069749E">
        <w:t>que componen el indicador</w:t>
      </w:r>
      <w:r w:rsidR="00A52C4E">
        <w:t>: Desempeño Económico, Entorno Macroeconómico e Institucional y Recursos Naturales</w:t>
      </w:r>
      <w:r w:rsidRPr="0069749E">
        <w:t xml:space="preserve">. </w:t>
      </w:r>
      <w:r>
        <w:t>El resto de las mismas, decreció.</w:t>
      </w:r>
    </w:p>
    <w:p w14:paraId="0E8F92D5" w14:textId="77777777" w:rsidR="003F3FE8" w:rsidRDefault="003F3FE8" w:rsidP="003F3FE8">
      <w:pPr>
        <w:spacing w:line="276" w:lineRule="auto"/>
        <w:jc w:val="both"/>
      </w:pPr>
      <w:r>
        <w:tab/>
        <w:t>La dimensión Desempeño económico fue el d</w:t>
      </w:r>
      <w:r w:rsidR="00755B7E">
        <w:t xml:space="preserve">e </w:t>
      </w:r>
      <w:r w:rsidR="00053DAA">
        <w:t>rendimiento</w:t>
      </w:r>
      <w:r w:rsidR="00755B7E">
        <w:t xml:space="preserve"> superior</w:t>
      </w:r>
      <w:r w:rsidR="00053DAA">
        <w:t xml:space="preserve"> </w:t>
      </w:r>
      <w:r>
        <w:t>que creció un 13,95% entre 2018 y 2019.</w:t>
      </w:r>
      <w:r w:rsidRPr="004E1092">
        <w:t xml:space="preserve"> Donde los protagonistas son el índice de precios mayorista de productos primarios y de la industria manufacturera y energía que aumentó un 88% y un 15% respectivamente</w:t>
      </w:r>
      <w:r w:rsidR="00F5671D">
        <w:rPr>
          <w:color w:val="FF0000"/>
        </w:rPr>
        <w:t xml:space="preserve">, es decir, </w:t>
      </w:r>
      <w:r w:rsidR="00F5671D" w:rsidRPr="00F5671D">
        <w:rPr>
          <w:color w:val="FF0000"/>
        </w:rPr>
        <w:t>el precio percibido por el productor</w:t>
      </w:r>
      <w:r w:rsidR="00F5671D">
        <w:rPr>
          <w:color w:val="FF0000"/>
        </w:rPr>
        <w:t xml:space="preserve"> mostró una mejoría</w:t>
      </w:r>
      <w:r>
        <w:t>. Cabe destacar, que el índice de producción indu</w:t>
      </w:r>
      <w:r w:rsidR="00755B7E">
        <w:t>strial manufacturero cayó un 6%, esto implica una caída de la producción industrial.</w:t>
      </w:r>
    </w:p>
    <w:p w14:paraId="3500B9A4" w14:textId="77777777" w:rsidR="00053DAA" w:rsidRDefault="003F3FE8" w:rsidP="003F3FE8">
      <w:pPr>
        <w:spacing w:line="276" w:lineRule="auto"/>
        <w:jc w:val="both"/>
      </w:pPr>
      <w:r>
        <w:tab/>
        <w:t xml:space="preserve">En </w:t>
      </w:r>
      <w:r w:rsidR="00755B7E">
        <w:t>menor medida, la dimensión Entor</w:t>
      </w:r>
      <w:r>
        <w:t>no Macroeconómico e Institucional (2,69%)</w:t>
      </w:r>
      <w:r w:rsidR="00053DAA">
        <w:t xml:space="preserve">. </w:t>
      </w:r>
      <w:r w:rsidR="00755B7E">
        <w:t>Analizando las variables,</w:t>
      </w:r>
      <w:r w:rsidR="00053DAA">
        <w:t xml:space="preserve"> el poder adquisitivo creció aproximadamente un 59%, </w:t>
      </w:r>
      <w:r w:rsidR="00755B7E">
        <w:t xml:space="preserve">es </w:t>
      </w:r>
      <w:r w:rsidR="00053DAA">
        <w:t>decir que aumentó un 59% el salario promedio real de los asalariados de la provincia</w:t>
      </w:r>
      <w:r w:rsidR="009C4FB0">
        <w:t xml:space="preserve">; </w:t>
      </w:r>
      <w:r w:rsidR="002B471F">
        <w:t>esta situación</w:t>
      </w:r>
      <w:r w:rsidR="009C4FB0">
        <w:t xml:space="preserve"> </w:t>
      </w:r>
      <w:r w:rsidR="00DE2DA4">
        <w:t>también</w:t>
      </w:r>
      <w:r w:rsidR="009C4FB0">
        <w:t xml:space="preserve"> se refleja en el consumo con respecto a la encuesta de supermercado donde </w:t>
      </w:r>
      <w:r w:rsidR="00755B7E">
        <w:t xml:space="preserve">el mismo subió un 54%, en cambio se redujo </w:t>
      </w:r>
      <w:r w:rsidR="009C4FB0">
        <w:t>el c</w:t>
      </w:r>
      <w:r w:rsidR="00755B7E">
        <w:t>onsumo de cemento en</w:t>
      </w:r>
      <w:r w:rsidR="009C4FB0">
        <w:t xml:space="preserve"> un 81</w:t>
      </w:r>
      <w:r w:rsidR="00271166">
        <w:t>%.</w:t>
      </w:r>
      <w:r w:rsidR="0099216F">
        <w:t xml:space="preserve"> También,</w:t>
      </w:r>
      <w:r w:rsidR="00A81107">
        <w:t xml:space="preserve"> se incrementó</w:t>
      </w:r>
      <w:r w:rsidR="0099216F">
        <w:t xml:space="preserve"> el acceso a prestamos tanto en moneda nacional </w:t>
      </w:r>
      <w:r w:rsidR="00A81107">
        <w:t xml:space="preserve">en </w:t>
      </w:r>
      <w:r w:rsidR="005166A8">
        <w:t>un 52%</w:t>
      </w:r>
      <w:r w:rsidR="00A81107">
        <w:t>. La tasa d</w:t>
      </w:r>
      <w:r w:rsidR="009C4FB0">
        <w:t xml:space="preserve">e desempleo no sufrió </w:t>
      </w:r>
      <w:r w:rsidR="00C848B6">
        <w:t xml:space="preserve">una </w:t>
      </w:r>
      <w:r w:rsidR="009C4FB0">
        <w:t xml:space="preserve">modificación </w:t>
      </w:r>
      <w:r w:rsidR="00C848B6">
        <w:t xml:space="preserve">significativa </w:t>
      </w:r>
      <w:r w:rsidR="009C4FB0">
        <w:t>de un año a otro.</w:t>
      </w:r>
    </w:p>
    <w:p w14:paraId="77DE8E42" w14:textId="77777777" w:rsidR="003F3FE8" w:rsidRDefault="002B471F" w:rsidP="003F3FE8">
      <w:pPr>
        <w:spacing w:line="276" w:lineRule="auto"/>
        <w:jc w:val="both"/>
      </w:pPr>
      <w:r>
        <w:t xml:space="preserve"> </w:t>
      </w:r>
      <w:r w:rsidR="00587143">
        <w:tab/>
      </w:r>
      <w:r w:rsidR="0033455A">
        <w:t>Y,</w:t>
      </w:r>
      <w:r w:rsidR="00587143">
        <w:t xml:space="preserve"> por último, </w:t>
      </w:r>
      <w:r w:rsidR="003F3FE8">
        <w:t>los Recursos Naturales (0,67%) también p</w:t>
      </w:r>
      <w:r w:rsidR="00866726">
        <w:t>resentaron resultados positivos</w:t>
      </w:r>
      <w:r w:rsidR="0033455A">
        <w:t xml:space="preserve">. Esto se debió </w:t>
      </w:r>
      <w:r w:rsidR="00866726">
        <w:t>a la</w:t>
      </w:r>
      <w:r w:rsidR="0033455A">
        <w:t xml:space="preserve"> buena cosecha de soja, maíz y poroto; caso contrario del </w:t>
      </w:r>
      <w:r w:rsidR="00760389">
        <w:t xml:space="preserve">trigo. </w:t>
      </w:r>
      <w:r w:rsidR="0033455A">
        <w:t>Cabe señalar que, con respecto</w:t>
      </w:r>
      <w:r w:rsidR="00760389">
        <w:t xml:space="preserve"> </w:t>
      </w:r>
      <w:r w:rsidR="0033455A">
        <w:t>a</w:t>
      </w:r>
      <w:r w:rsidR="00A53AAD">
        <w:t>l</w:t>
      </w:r>
      <w:r w:rsidR="0033455A">
        <w:t xml:space="preserve"> stock bovino y caprino, tabaco</w:t>
      </w:r>
      <w:r w:rsidR="00760389">
        <w:t>,</w:t>
      </w:r>
      <w:r w:rsidR="0033455A">
        <w:t xml:space="preserve"> </w:t>
      </w:r>
      <w:r w:rsidR="00760389">
        <w:t>limón,</w:t>
      </w:r>
      <w:r w:rsidR="0033455A">
        <w:t xml:space="preserve"> </w:t>
      </w:r>
      <w:r w:rsidR="00760389">
        <w:t>naranja,</w:t>
      </w:r>
      <w:r w:rsidR="0033455A">
        <w:t xml:space="preserve"> </w:t>
      </w:r>
      <w:r w:rsidR="00760389">
        <w:t>pomelo, azucares y vino no hay</w:t>
      </w:r>
      <w:r w:rsidR="0033455A">
        <w:t xml:space="preserve"> datos disponibles</w:t>
      </w:r>
      <w:r w:rsidR="00760389">
        <w:t xml:space="preserve"> para </w:t>
      </w:r>
      <w:r w:rsidR="0033455A">
        <w:t>el año bajo análisis (2019)</w:t>
      </w:r>
      <w:r w:rsidR="00760389">
        <w:t>.</w:t>
      </w:r>
    </w:p>
    <w:p w14:paraId="30047755" w14:textId="77777777" w:rsidR="003F3FE8" w:rsidRDefault="003F3FE8" w:rsidP="003F3FE8">
      <w:pPr>
        <w:spacing w:line="276" w:lineRule="auto"/>
        <w:jc w:val="both"/>
      </w:pPr>
      <w:r>
        <w:tab/>
        <w:t xml:space="preserve">En cuanto a los que obtuvieron resultados negativos, se encuentran: </w:t>
      </w:r>
    </w:p>
    <w:p w14:paraId="3662CD5F" w14:textId="77777777" w:rsidR="003F3FE8" w:rsidRDefault="003F3FE8" w:rsidP="003F3FE8">
      <w:pPr>
        <w:pStyle w:val="Prrafodelista"/>
        <w:numPr>
          <w:ilvl w:val="0"/>
          <w:numId w:val="3"/>
        </w:numPr>
        <w:spacing w:line="276" w:lineRule="auto"/>
        <w:jc w:val="both"/>
      </w:pPr>
      <w:r>
        <w:lastRenderedPageBreak/>
        <w:t>Infraestructura (-3,18%), donde la inversión pública disminuyó abruptamente un 112% debido al</w:t>
      </w:r>
      <w:r w:rsidRPr="0078696E">
        <w:t xml:space="preserve"> recorte de gastos de capital de la Administración Nacional destinados a obras de infraestructura tendientes a mejorar el desempeño del sector agrícola</w:t>
      </w:r>
      <w:r>
        <w:t>.</w:t>
      </w:r>
    </w:p>
    <w:p w14:paraId="076D9905" w14:textId="77777777" w:rsidR="003F3FE8" w:rsidRDefault="003F3FE8" w:rsidP="003F3FE8">
      <w:pPr>
        <w:pStyle w:val="Prrafodelista"/>
        <w:numPr>
          <w:ilvl w:val="0"/>
          <w:numId w:val="3"/>
        </w:numPr>
        <w:spacing w:line="276" w:lineRule="auto"/>
        <w:jc w:val="both"/>
      </w:pPr>
      <w:r>
        <w:t>Sector externo (-1,47%), donde las exportaciones tanto de productos primarios como de productos manufacturados de origen animal decrecieron un 19% y 23% respectivamente. Si bien el índice de Tipo de Cambio Real Multilateral aumentó, esto se debe al efecto de la inflación.</w:t>
      </w:r>
    </w:p>
    <w:p w14:paraId="129410B0" w14:textId="77777777" w:rsidR="003F3FE8" w:rsidRDefault="003F3FE8" w:rsidP="003F3FE8">
      <w:pPr>
        <w:pStyle w:val="Prrafodelista"/>
        <w:numPr>
          <w:ilvl w:val="0"/>
          <w:numId w:val="3"/>
        </w:numPr>
        <w:spacing w:line="276" w:lineRule="auto"/>
        <w:jc w:val="both"/>
      </w:pPr>
      <w:r>
        <w:t xml:space="preserve"> Población (-0,17), donde la tasa de pobreza con respecto a personas </w:t>
      </w:r>
      <w:r w:rsidR="002552D8">
        <w:t>se acrecentó</w:t>
      </w:r>
      <w:r>
        <w:t xml:space="preserve"> un 15%. </w:t>
      </w:r>
    </w:p>
    <w:p w14:paraId="5550E86F" w14:textId="77777777" w:rsidR="003F3FE8" w:rsidRDefault="000100AA" w:rsidP="00A34F6F">
      <w:pPr>
        <w:spacing w:line="276" w:lineRule="auto"/>
        <w:jc w:val="both"/>
      </w:pPr>
      <w:r w:rsidRPr="00B07AAE">
        <w:rPr>
          <w:color w:val="FF0000"/>
        </w:rPr>
        <w:tab/>
      </w:r>
      <w:r w:rsidR="00C64D88">
        <w:t>Analizando</w:t>
      </w:r>
      <w:r w:rsidR="00B73086">
        <w:t xml:space="preserve"> el </w:t>
      </w:r>
      <w:r w:rsidR="00C64D88">
        <w:t>2020 con respecto al 2019</w:t>
      </w:r>
      <w:r w:rsidR="00B73086">
        <w:t>,</w:t>
      </w:r>
      <w:r w:rsidR="005B2C72">
        <w:t xml:space="preserve"> el IC</w:t>
      </w:r>
      <w:r w:rsidR="009C5AD7">
        <w:t xml:space="preserve"> </w:t>
      </w:r>
      <w:r w:rsidR="00715D91">
        <w:t>mostró un avance del</w:t>
      </w:r>
      <w:r w:rsidR="009C5AD7">
        <w:t xml:space="preserve"> 4,65%. Pero es importante destacar</w:t>
      </w:r>
      <w:r w:rsidR="00715D91">
        <w:t xml:space="preserve">, que para el </w:t>
      </w:r>
      <w:r w:rsidR="004F491B">
        <w:t>último año</w:t>
      </w:r>
      <w:r w:rsidR="00715D91">
        <w:t xml:space="preserve"> no se </w:t>
      </w:r>
      <w:r w:rsidR="004F491B">
        <w:t xml:space="preserve">encuentran disponibles </w:t>
      </w:r>
      <w:r w:rsidR="009C5AD7">
        <w:t xml:space="preserve">todos los datos de las </w:t>
      </w:r>
      <w:r w:rsidR="004F491B">
        <w:t xml:space="preserve">distintas </w:t>
      </w:r>
      <w:r w:rsidR="009C5AD7">
        <w:t>variables que conforman los subíndices debido a la pandemia, puesto que, hubo organismos</w:t>
      </w:r>
      <w:r w:rsidR="004F491B">
        <w:t xml:space="preserve"> e instituciones</w:t>
      </w:r>
      <w:r w:rsidR="009C5AD7">
        <w:t xml:space="preserve"> que no funcionaron normalmente.</w:t>
      </w:r>
    </w:p>
    <w:p w14:paraId="1BF1C284" w14:textId="77777777" w:rsidR="00DB661A" w:rsidRDefault="00DB661A" w:rsidP="00A34F6F">
      <w:pPr>
        <w:spacing w:line="276" w:lineRule="auto"/>
        <w:jc w:val="both"/>
      </w:pPr>
      <w:r>
        <w:tab/>
      </w:r>
      <w:r w:rsidR="001D3C78">
        <w:t>Positivamente, c</w:t>
      </w:r>
      <w:r>
        <w:t>inco de los seis subíndices evidenciaron avances de un año al otro.</w:t>
      </w:r>
      <w:r w:rsidR="001B4445">
        <w:t xml:space="preserve"> </w:t>
      </w:r>
    </w:p>
    <w:p w14:paraId="24C013C7" w14:textId="77777777" w:rsidR="001B4445" w:rsidRDefault="001B4445" w:rsidP="00A34F6F">
      <w:pPr>
        <w:spacing w:line="276" w:lineRule="auto"/>
        <w:jc w:val="both"/>
      </w:pPr>
      <w:r>
        <w:tab/>
        <w:t xml:space="preserve">El mejor rendimiento se observa en la dimensión del Entorno Macroeconómico e Institucional, </w:t>
      </w:r>
      <w:r w:rsidR="008608FE">
        <w:t>explicado por</w:t>
      </w:r>
      <w:r>
        <w:t xml:space="preserve"> el </w:t>
      </w:r>
      <w:r w:rsidR="008608FE">
        <w:t>aumento de</w:t>
      </w:r>
      <w:r w:rsidR="008B7892">
        <w:t xml:space="preserve"> poder adquisitivo </w:t>
      </w:r>
      <w:r w:rsidR="00415DD0">
        <w:t xml:space="preserve">del 62% lo </w:t>
      </w:r>
      <w:r w:rsidR="002E3D90">
        <w:t>que,</w:t>
      </w:r>
      <w:r w:rsidR="00415DD0">
        <w:t xml:space="preserve"> a su vez, se refleja en el crecimiento del</w:t>
      </w:r>
      <w:r w:rsidR="008608FE">
        <w:t xml:space="preserve"> </w:t>
      </w:r>
      <w:r>
        <w:t xml:space="preserve">consumo de cemento </w:t>
      </w:r>
      <w:r w:rsidR="008608FE">
        <w:t xml:space="preserve">en </w:t>
      </w:r>
      <w:r w:rsidR="00415DD0">
        <w:t>un 120% y en supermercados en un 52%</w:t>
      </w:r>
      <w:r w:rsidR="0065708E">
        <w:t xml:space="preserve">. El acceso a los </w:t>
      </w:r>
      <w:r w:rsidR="002E3D90">
        <w:t>préstamos</w:t>
      </w:r>
      <w:r w:rsidR="0065708E">
        <w:t xml:space="preserve"> por parte del sector productivo se </w:t>
      </w:r>
      <w:r w:rsidR="002E3D90">
        <w:t>incrementó</w:t>
      </w:r>
      <w:r w:rsidR="0065708E">
        <w:t xml:space="preserve"> en un 93%. </w:t>
      </w:r>
      <w:r w:rsidR="002E3D90">
        <w:t>Y,</w:t>
      </w:r>
      <w:r w:rsidR="0065708E">
        <w:t xml:space="preserve"> por ú</w:t>
      </w:r>
      <w:r w:rsidR="00141D2C">
        <w:t>ltimo, la tasa de desempleo s</w:t>
      </w:r>
      <w:r w:rsidR="0065708E">
        <w:t>e</w:t>
      </w:r>
      <w:r w:rsidR="00141D2C">
        <w:t xml:space="preserve"> redujo en</w:t>
      </w:r>
      <w:r w:rsidR="0065708E">
        <w:t xml:space="preserve"> un 0,08%.</w:t>
      </w:r>
    </w:p>
    <w:p w14:paraId="77C37A41" w14:textId="77777777" w:rsidR="00E87C62" w:rsidRDefault="00E87C62" w:rsidP="00A34F6F">
      <w:pPr>
        <w:spacing w:line="276" w:lineRule="auto"/>
        <w:jc w:val="both"/>
      </w:pPr>
      <w:r>
        <w:tab/>
        <w:t xml:space="preserve">El Desempeño Económico creció 9,74% aunque solo una de las variables del mismo </w:t>
      </w:r>
      <w:r w:rsidR="002E3D90">
        <w:t>mejoró</w:t>
      </w:r>
      <w:r>
        <w:t xml:space="preserve"> que es</w:t>
      </w:r>
      <w:r w:rsidR="002E3D90">
        <w:t xml:space="preserve"> el</w:t>
      </w:r>
      <w:r>
        <w:t xml:space="preserve"> precio percibido por el productor </w:t>
      </w:r>
      <w:r w:rsidR="00946517">
        <w:t xml:space="preserve">en cuanto a bienes primarios, mientras que el de productos manufacturados y energía eléctrica cayó 16% al igual que el índice </w:t>
      </w:r>
      <w:r w:rsidR="00855662">
        <w:t>de producción manufacturera 7</w:t>
      </w:r>
      <w:r w:rsidR="00946517">
        <w:t>%.</w:t>
      </w:r>
    </w:p>
    <w:p w14:paraId="2135FBF6" w14:textId="77777777" w:rsidR="00CE677B" w:rsidRDefault="002A48F8" w:rsidP="00A34F6F">
      <w:pPr>
        <w:spacing w:line="276" w:lineRule="auto"/>
        <w:jc w:val="both"/>
      </w:pPr>
      <w:r>
        <w:tab/>
      </w:r>
      <w:r w:rsidR="00327CCA">
        <w:tab/>
        <w:t>En cuanto a Infraestructura, no existen datos para el nivel de inversión pública ni para el acceso a la telefonía. En suma, las toneladas transportadas por el ferrocarril Belgrano también se redujeron, por lo tanto, si bien muestra un crecimiento dicha dimensión esto es una distorsión (el número sobre el cual se realizó la respectiva proyección, fue mucho menor por la falta de datos).</w:t>
      </w:r>
      <w:r w:rsidR="00CE677B" w:rsidRPr="00CE677B">
        <w:t xml:space="preserve"> </w:t>
      </w:r>
    </w:p>
    <w:p w14:paraId="2F0FD905" w14:textId="77777777" w:rsidR="00900F99" w:rsidRDefault="00CE677B" w:rsidP="00A34F6F">
      <w:pPr>
        <w:spacing w:line="276" w:lineRule="auto"/>
        <w:jc w:val="both"/>
      </w:pPr>
      <w:r>
        <w:tab/>
        <w:t xml:space="preserve">Por último, en el Sector externo aumentó solamente un 46% las exportaciones de productos manufacturados de origen agropecuario; en Recursos Naturales </w:t>
      </w:r>
      <w:r w:rsidR="009F32A1">
        <w:t>el único número disponible es el referido a la</w:t>
      </w:r>
      <w:r>
        <w:t xml:space="preserve"> producción de vinos</w:t>
      </w:r>
      <w:r w:rsidR="00F63F6D">
        <w:t xml:space="preserve"> (el mismo no estuvo disponible para el año 2019, lo que dificulta el análisis)</w:t>
      </w:r>
      <w:r>
        <w:t>.</w:t>
      </w:r>
    </w:p>
    <w:p w14:paraId="0E0567B1" w14:textId="77777777" w:rsidR="001818A3" w:rsidRDefault="001818A3" w:rsidP="00A34F6F">
      <w:pPr>
        <w:spacing w:line="276" w:lineRule="auto"/>
        <w:jc w:val="both"/>
      </w:pPr>
      <w:r>
        <w:tab/>
        <w:t xml:space="preserve">La única dimensión que </w:t>
      </w:r>
      <w:r w:rsidR="006C5FDE">
        <w:t xml:space="preserve">evidenció </w:t>
      </w:r>
      <w:r>
        <w:t>un retroceso fue Población</w:t>
      </w:r>
      <w:r w:rsidR="00250496">
        <w:t xml:space="preserve"> del 0,1%</w:t>
      </w:r>
      <w:r>
        <w:t xml:space="preserve">, donde </w:t>
      </w:r>
      <w:r w:rsidR="004B2A08">
        <w:t>el nivel educativo de la población</w:t>
      </w:r>
      <w:r w:rsidR="006C5FDE">
        <w:t xml:space="preserve"> creció</w:t>
      </w:r>
      <w:r w:rsidR="004B2A08">
        <w:t xml:space="preserve"> un 3% y la cobertura </w:t>
      </w:r>
      <w:r w:rsidR="006C5FDE">
        <w:t>médica</w:t>
      </w:r>
      <w:r w:rsidR="004B2A08">
        <w:t xml:space="preserve"> apenas un 0,2%. La población económicamente activa se redujo un 7,3% y la tasa de pobreza (personas) </w:t>
      </w:r>
      <w:r w:rsidR="006C5FDE">
        <w:t xml:space="preserve">se amplió </w:t>
      </w:r>
      <w:r w:rsidR="004B2A08">
        <w:t>un 2,5%.</w:t>
      </w:r>
    </w:p>
    <w:p w14:paraId="0067A0BC" w14:textId="77777777" w:rsidR="00D93775" w:rsidRDefault="004B2A08" w:rsidP="00D93775">
      <w:pPr>
        <w:spacing w:line="276" w:lineRule="auto"/>
        <w:jc w:val="both"/>
      </w:pPr>
      <w:r>
        <w:tab/>
      </w:r>
      <w:r w:rsidR="00D93775" w:rsidRPr="00B07AAE">
        <w:rPr>
          <w:color w:val="FF0000"/>
        </w:rPr>
        <w:t>Resulta importante subrayar, que en relación a la dimensión Calidad y Diferenciación, solamente el vino obtuvo el sello de calidad y cumple con las normas correspondientes.</w:t>
      </w:r>
      <w:r w:rsidR="00D93775">
        <w:rPr>
          <w:color w:val="FF0000"/>
        </w:rPr>
        <w:t xml:space="preserve"> </w:t>
      </w:r>
    </w:p>
    <w:p w14:paraId="3C7A8207" w14:textId="2190CA8F" w:rsidR="007A3057" w:rsidRDefault="003326E9" w:rsidP="00A34F6F">
      <w:pPr>
        <w:spacing w:line="276" w:lineRule="auto"/>
        <w:jc w:val="both"/>
      </w:pPr>
      <w:r>
        <w:tab/>
      </w:r>
      <w:r w:rsidR="00215B06">
        <w:t>En conclusión, podríamos afirmar que a futuro existe la posibilidad de que mejore</w:t>
      </w:r>
      <w:r w:rsidR="004B2A08">
        <w:t xml:space="preserve"> el índice de acuerdo</w:t>
      </w:r>
      <w:r w:rsidR="007A54E7">
        <w:t xml:space="preserve"> al grá</w:t>
      </w:r>
      <w:r w:rsidR="004B2A08">
        <w:t>fico N°1, donde se ve una tendencia positiva</w:t>
      </w:r>
      <w:r w:rsidR="007A54E7">
        <w:t xml:space="preserve"> del mismo</w:t>
      </w:r>
      <w:r w:rsidR="004B2A08">
        <w:t>.</w:t>
      </w:r>
      <w:r w:rsidR="007A54E7">
        <w:t xml:space="preserve"> Además,</w:t>
      </w:r>
      <w:r w:rsidR="004B2A08">
        <w:t xml:space="preserve"> </w:t>
      </w:r>
      <w:r w:rsidR="004B2A08">
        <w:lastRenderedPageBreak/>
        <w:t>posteriormente</w:t>
      </w:r>
      <w:r w:rsidR="007A54E7">
        <w:t>,</w:t>
      </w:r>
      <w:r w:rsidR="004B2A08">
        <w:t xml:space="preserve"> podrá calcularse de una manera </w:t>
      </w:r>
      <w:r w:rsidR="00236681">
        <w:t xml:space="preserve">mejor y </w:t>
      </w:r>
      <w:r w:rsidR="007A54E7">
        <w:t>más</w:t>
      </w:r>
      <w:r w:rsidR="004B2A08">
        <w:t xml:space="preserve"> precisa cuando los organismos correspondientes publiquen los datos </w:t>
      </w:r>
      <w:r w:rsidR="007A54E7">
        <w:t>para el 2020 (año de la pandemia COVID-19).</w:t>
      </w:r>
    </w:p>
    <w:p w14:paraId="42DB0EED" w14:textId="77777777" w:rsidR="00A34F6F" w:rsidRDefault="00A34F6F" w:rsidP="00A34F6F">
      <w:pPr>
        <w:pStyle w:val="Prrafodelista"/>
        <w:numPr>
          <w:ilvl w:val="0"/>
          <w:numId w:val="4"/>
        </w:numPr>
        <w:spacing w:line="276" w:lineRule="auto"/>
        <w:jc w:val="both"/>
      </w:pPr>
      <w:r>
        <w:t>Tabla N° 1: Índice de competitividad.</w:t>
      </w:r>
    </w:p>
    <w:tbl>
      <w:tblPr>
        <w:tblW w:w="10058" w:type="dxa"/>
        <w:jc w:val="center"/>
        <w:tblCellMar>
          <w:left w:w="70" w:type="dxa"/>
          <w:right w:w="70" w:type="dxa"/>
        </w:tblCellMar>
        <w:tblLook w:val="04A0" w:firstRow="1" w:lastRow="0" w:firstColumn="1" w:lastColumn="0" w:noHBand="0" w:noVBand="1"/>
      </w:tblPr>
      <w:tblGrid>
        <w:gridCol w:w="3823"/>
        <w:gridCol w:w="1297"/>
        <w:gridCol w:w="1200"/>
        <w:gridCol w:w="1200"/>
        <w:gridCol w:w="1218"/>
        <w:gridCol w:w="1320"/>
      </w:tblGrid>
      <w:tr w:rsidR="00A34F6F" w:rsidRPr="00A34F6F" w14:paraId="06A3B05E" w14:textId="77777777" w:rsidTr="00A34F6F">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8D85F67" w14:textId="77777777" w:rsidR="00A34F6F" w:rsidRPr="00A34F6F" w:rsidRDefault="00A34F6F" w:rsidP="00A34F6F">
            <w:pPr>
              <w:spacing w:after="0" w:line="240" w:lineRule="auto"/>
              <w:jc w:val="center"/>
              <w:rPr>
                <w:rFonts w:ascii="Calibri" w:eastAsia="Times New Roman" w:hAnsi="Calibri" w:cs="Calibri"/>
                <w:color w:val="000000"/>
                <w:lang w:eastAsia="es-AR"/>
              </w:rPr>
            </w:pPr>
            <w:r w:rsidRPr="00A34F6F">
              <w:rPr>
                <w:rFonts w:ascii="Calibri" w:eastAsia="Times New Roman" w:hAnsi="Calibri" w:cs="Calibri"/>
                <w:color w:val="000000"/>
                <w:lang w:eastAsia="es-AR"/>
              </w:rPr>
              <w:t>Dimensión</w:t>
            </w:r>
          </w:p>
        </w:tc>
        <w:tc>
          <w:tcPr>
            <w:tcW w:w="1297" w:type="dxa"/>
            <w:tcBorders>
              <w:top w:val="single" w:sz="4" w:space="0" w:color="auto"/>
              <w:left w:val="nil"/>
              <w:bottom w:val="single" w:sz="4" w:space="0" w:color="auto"/>
              <w:right w:val="single" w:sz="4" w:space="0" w:color="auto"/>
            </w:tcBorders>
            <w:shd w:val="clear" w:color="000000" w:fill="DDEBF7"/>
            <w:noWrap/>
            <w:vAlign w:val="bottom"/>
            <w:hideMark/>
          </w:tcPr>
          <w:p w14:paraId="4FD0F34B" w14:textId="77777777" w:rsidR="00A34F6F" w:rsidRPr="00A34F6F" w:rsidRDefault="00A34F6F" w:rsidP="00A34F6F">
            <w:pPr>
              <w:spacing w:after="0" w:line="240" w:lineRule="auto"/>
              <w:jc w:val="center"/>
              <w:rPr>
                <w:rFonts w:ascii="Calibri" w:eastAsia="Times New Roman" w:hAnsi="Calibri" w:cs="Calibri"/>
                <w:color w:val="000000"/>
                <w:lang w:eastAsia="es-AR"/>
              </w:rPr>
            </w:pPr>
            <w:r w:rsidRPr="00A34F6F">
              <w:rPr>
                <w:rFonts w:ascii="Calibri" w:eastAsia="Times New Roman" w:hAnsi="Calibri" w:cs="Calibri"/>
                <w:color w:val="000000"/>
                <w:lang w:eastAsia="es-AR"/>
              </w:rPr>
              <w:t>2018</w:t>
            </w:r>
          </w:p>
        </w:tc>
        <w:tc>
          <w:tcPr>
            <w:tcW w:w="1200" w:type="dxa"/>
            <w:tcBorders>
              <w:top w:val="single" w:sz="4" w:space="0" w:color="auto"/>
              <w:left w:val="nil"/>
              <w:bottom w:val="single" w:sz="4" w:space="0" w:color="auto"/>
              <w:right w:val="single" w:sz="4" w:space="0" w:color="auto"/>
            </w:tcBorders>
            <w:shd w:val="clear" w:color="000000" w:fill="DDEBF7"/>
            <w:noWrap/>
            <w:vAlign w:val="bottom"/>
            <w:hideMark/>
          </w:tcPr>
          <w:p w14:paraId="1E126E46" w14:textId="77777777" w:rsidR="00A34F6F" w:rsidRPr="00A34F6F" w:rsidRDefault="00A34F6F" w:rsidP="00A34F6F">
            <w:pPr>
              <w:spacing w:after="0" w:line="240" w:lineRule="auto"/>
              <w:jc w:val="center"/>
              <w:rPr>
                <w:rFonts w:ascii="Calibri" w:eastAsia="Times New Roman" w:hAnsi="Calibri" w:cs="Calibri"/>
                <w:color w:val="000000"/>
                <w:lang w:eastAsia="es-AR"/>
              </w:rPr>
            </w:pPr>
            <w:r w:rsidRPr="00A34F6F">
              <w:rPr>
                <w:rFonts w:ascii="Calibri" w:eastAsia="Times New Roman" w:hAnsi="Calibri" w:cs="Calibri"/>
                <w:color w:val="000000"/>
                <w:lang w:eastAsia="es-AR"/>
              </w:rPr>
              <w:t>2019</w:t>
            </w:r>
          </w:p>
        </w:tc>
        <w:tc>
          <w:tcPr>
            <w:tcW w:w="1200" w:type="dxa"/>
            <w:tcBorders>
              <w:top w:val="single" w:sz="4" w:space="0" w:color="auto"/>
              <w:left w:val="nil"/>
              <w:bottom w:val="single" w:sz="4" w:space="0" w:color="auto"/>
              <w:right w:val="single" w:sz="4" w:space="0" w:color="auto"/>
            </w:tcBorders>
            <w:shd w:val="clear" w:color="000000" w:fill="DDEBF7"/>
            <w:noWrap/>
            <w:vAlign w:val="bottom"/>
            <w:hideMark/>
          </w:tcPr>
          <w:p w14:paraId="441D27BB" w14:textId="77777777" w:rsidR="00A34F6F" w:rsidRPr="00A34F6F" w:rsidRDefault="00A34F6F" w:rsidP="00A34F6F">
            <w:pPr>
              <w:spacing w:after="0" w:line="240" w:lineRule="auto"/>
              <w:jc w:val="center"/>
              <w:rPr>
                <w:rFonts w:ascii="Calibri" w:eastAsia="Times New Roman" w:hAnsi="Calibri" w:cs="Calibri"/>
                <w:color w:val="000000"/>
                <w:lang w:eastAsia="es-AR"/>
              </w:rPr>
            </w:pPr>
            <w:r w:rsidRPr="00A34F6F">
              <w:rPr>
                <w:rFonts w:ascii="Calibri" w:eastAsia="Times New Roman" w:hAnsi="Calibri" w:cs="Calibri"/>
                <w:color w:val="000000"/>
                <w:lang w:eastAsia="es-AR"/>
              </w:rPr>
              <w:t>2020</w:t>
            </w:r>
          </w:p>
        </w:tc>
        <w:tc>
          <w:tcPr>
            <w:tcW w:w="1218" w:type="dxa"/>
            <w:tcBorders>
              <w:top w:val="single" w:sz="4" w:space="0" w:color="auto"/>
              <w:left w:val="nil"/>
              <w:bottom w:val="single" w:sz="4" w:space="0" w:color="auto"/>
              <w:right w:val="single" w:sz="4" w:space="0" w:color="auto"/>
            </w:tcBorders>
            <w:shd w:val="clear" w:color="000000" w:fill="DDEBF7"/>
            <w:noWrap/>
            <w:vAlign w:val="bottom"/>
            <w:hideMark/>
          </w:tcPr>
          <w:p w14:paraId="2D8A0288" w14:textId="77777777" w:rsidR="00A34F6F" w:rsidRPr="00A34F6F" w:rsidRDefault="00A34F6F" w:rsidP="00A34F6F">
            <w:pPr>
              <w:spacing w:after="0" w:line="240" w:lineRule="auto"/>
              <w:jc w:val="center"/>
              <w:rPr>
                <w:rFonts w:ascii="Calibri" w:eastAsia="Times New Roman" w:hAnsi="Calibri" w:cs="Calibri"/>
                <w:color w:val="000000"/>
                <w:lang w:eastAsia="es-AR"/>
              </w:rPr>
            </w:pPr>
            <w:r w:rsidRPr="00A34F6F">
              <w:rPr>
                <w:rFonts w:ascii="Calibri" w:eastAsia="Times New Roman" w:hAnsi="Calibri" w:cs="Calibri"/>
                <w:color w:val="000000"/>
                <w:lang w:eastAsia="es-AR"/>
              </w:rPr>
              <w:t>2019vs2018</w:t>
            </w:r>
          </w:p>
        </w:tc>
        <w:tc>
          <w:tcPr>
            <w:tcW w:w="1320" w:type="dxa"/>
            <w:tcBorders>
              <w:top w:val="single" w:sz="4" w:space="0" w:color="auto"/>
              <w:left w:val="nil"/>
              <w:bottom w:val="single" w:sz="4" w:space="0" w:color="auto"/>
              <w:right w:val="single" w:sz="4" w:space="0" w:color="auto"/>
            </w:tcBorders>
            <w:shd w:val="clear" w:color="000000" w:fill="DDEBF7"/>
            <w:noWrap/>
            <w:vAlign w:val="bottom"/>
            <w:hideMark/>
          </w:tcPr>
          <w:p w14:paraId="228FEDD4" w14:textId="77777777" w:rsidR="00A34F6F" w:rsidRPr="00A34F6F" w:rsidRDefault="00A34F6F" w:rsidP="00A34F6F">
            <w:pPr>
              <w:spacing w:after="0" w:line="240" w:lineRule="auto"/>
              <w:jc w:val="center"/>
              <w:rPr>
                <w:rFonts w:ascii="Calibri" w:eastAsia="Times New Roman" w:hAnsi="Calibri" w:cs="Calibri"/>
                <w:color w:val="000000"/>
                <w:lang w:eastAsia="es-AR"/>
              </w:rPr>
            </w:pPr>
            <w:r w:rsidRPr="00A34F6F">
              <w:rPr>
                <w:rFonts w:ascii="Calibri" w:eastAsia="Times New Roman" w:hAnsi="Calibri" w:cs="Calibri"/>
                <w:color w:val="000000"/>
                <w:lang w:eastAsia="es-AR"/>
              </w:rPr>
              <w:t>2020vs2019</w:t>
            </w:r>
          </w:p>
        </w:tc>
      </w:tr>
      <w:tr w:rsidR="00A34F6F" w:rsidRPr="00A34F6F" w14:paraId="197B4B10" w14:textId="77777777" w:rsidTr="00A34F6F">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0B1AB2A" w14:textId="77777777" w:rsidR="00A34F6F" w:rsidRPr="00A34F6F" w:rsidRDefault="00A34F6F" w:rsidP="00A34F6F">
            <w:pPr>
              <w:spacing w:after="0" w:line="240" w:lineRule="auto"/>
              <w:rPr>
                <w:rFonts w:ascii="Calibri" w:eastAsia="Times New Roman" w:hAnsi="Calibri" w:cs="Calibri"/>
                <w:color w:val="000000"/>
                <w:lang w:eastAsia="es-AR"/>
              </w:rPr>
            </w:pPr>
            <w:r w:rsidRPr="00A34F6F">
              <w:rPr>
                <w:rFonts w:ascii="Calibri" w:eastAsia="Times New Roman" w:hAnsi="Calibri" w:cs="Calibri"/>
                <w:color w:val="000000"/>
                <w:lang w:eastAsia="es-AR"/>
              </w:rPr>
              <w:t>Recursos Naturales</w:t>
            </w:r>
          </w:p>
        </w:tc>
        <w:tc>
          <w:tcPr>
            <w:tcW w:w="1297" w:type="dxa"/>
            <w:tcBorders>
              <w:top w:val="nil"/>
              <w:left w:val="nil"/>
              <w:bottom w:val="single" w:sz="4" w:space="0" w:color="auto"/>
              <w:right w:val="single" w:sz="4" w:space="0" w:color="auto"/>
            </w:tcBorders>
            <w:shd w:val="clear" w:color="auto" w:fill="auto"/>
            <w:noWrap/>
            <w:vAlign w:val="bottom"/>
            <w:hideMark/>
          </w:tcPr>
          <w:p w14:paraId="4B0039C2"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11,82%</w:t>
            </w:r>
          </w:p>
        </w:tc>
        <w:tc>
          <w:tcPr>
            <w:tcW w:w="1200" w:type="dxa"/>
            <w:tcBorders>
              <w:top w:val="nil"/>
              <w:left w:val="nil"/>
              <w:bottom w:val="single" w:sz="4" w:space="0" w:color="auto"/>
              <w:right w:val="single" w:sz="4" w:space="0" w:color="auto"/>
            </w:tcBorders>
            <w:shd w:val="clear" w:color="auto" w:fill="auto"/>
            <w:noWrap/>
            <w:vAlign w:val="bottom"/>
            <w:hideMark/>
          </w:tcPr>
          <w:p w14:paraId="62B49699"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12,49%</w:t>
            </w:r>
          </w:p>
        </w:tc>
        <w:tc>
          <w:tcPr>
            <w:tcW w:w="1200" w:type="dxa"/>
            <w:tcBorders>
              <w:top w:val="nil"/>
              <w:left w:val="nil"/>
              <w:bottom w:val="single" w:sz="4" w:space="0" w:color="auto"/>
              <w:right w:val="single" w:sz="4" w:space="0" w:color="auto"/>
            </w:tcBorders>
            <w:shd w:val="clear" w:color="auto" w:fill="auto"/>
            <w:noWrap/>
            <w:vAlign w:val="bottom"/>
            <w:hideMark/>
          </w:tcPr>
          <w:p w14:paraId="45026497"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13,05%</w:t>
            </w:r>
          </w:p>
        </w:tc>
        <w:tc>
          <w:tcPr>
            <w:tcW w:w="1218" w:type="dxa"/>
            <w:tcBorders>
              <w:top w:val="nil"/>
              <w:left w:val="nil"/>
              <w:bottom w:val="single" w:sz="4" w:space="0" w:color="auto"/>
              <w:right w:val="single" w:sz="4" w:space="0" w:color="auto"/>
            </w:tcBorders>
            <w:shd w:val="clear" w:color="auto" w:fill="auto"/>
            <w:noWrap/>
            <w:vAlign w:val="bottom"/>
            <w:hideMark/>
          </w:tcPr>
          <w:p w14:paraId="07D9DC1C"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0,67%</w:t>
            </w:r>
          </w:p>
        </w:tc>
        <w:tc>
          <w:tcPr>
            <w:tcW w:w="1320" w:type="dxa"/>
            <w:tcBorders>
              <w:top w:val="nil"/>
              <w:left w:val="nil"/>
              <w:bottom w:val="single" w:sz="4" w:space="0" w:color="auto"/>
              <w:right w:val="single" w:sz="4" w:space="0" w:color="auto"/>
            </w:tcBorders>
            <w:shd w:val="clear" w:color="auto" w:fill="auto"/>
            <w:noWrap/>
            <w:vAlign w:val="bottom"/>
            <w:hideMark/>
          </w:tcPr>
          <w:p w14:paraId="4BDDDD30"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0,55%</w:t>
            </w:r>
          </w:p>
        </w:tc>
      </w:tr>
      <w:tr w:rsidR="00A34F6F" w:rsidRPr="00A34F6F" w14:paraId="7207EAB0" w14:textId="77777777" w:rsidTr="00A34F6F">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9FB6960" w14:textId="77777777" w:rsidR="00A34F6F" w:rsidRPr="00A34F6F" w:rsidRDefault="00A34F6F" w:rsidP="00A34F6F">
            <w:pPr>
              <w:spacing w:after="0" w:line="240" w:lineRule="auto"/>
              <w:rPr>
                <w:rFonts w:ascii="Calibri" w:eastAsia="Times New Roman" w:hAnsi="Calibri" w:cs="Calibri"/>
                <w:color w:val="000000"/>
                <w:lang w:eastAsia="es-AR"/>
              </w:rPr>
            </w:pPr>
            <w:r w:rsidRPr="00A34F6F">
              <w:rPr>
                <w:rFonts w:ascii="Calibri" w:eastAsia="Times New Roman" w:hAnsi="Calibri" w:cs="Calibri"/>
                <w:color w:val="000000"/>
                <w:lang w:eastAsia="es-AR"/>
              </w:rPr>
              <w:t>Infraestructura</w:t>
            </w:r>
          </w:p>
        </w:tc>
        <w:tc>
          <w:tcPr>
            <w:tcW w:w="1297" w:type="dxa"/>
            <w:tcBorders>
              <w:top w:val="nil"/>
              <w:left w:val="nil"/>
              <w:bottom w:val="single" w:sz="4" w:space="0" w:color="auto"/>
              <w:right w:val="single" w:sz="4" w:space="0" w:color="auto"/>
            </w:tcBorders>
            <w:shd w:val="clear" w:color="auto" w:fill="auto"/>
            <w:noWrap/>
            <w:vAlign w:val="bottom"/>
            <w:hideMark/>
          </w:tcPr>
          <w:p w14:paraId="2D064312"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14,93%</w:t>
            </w:r>
          </w:p>
        </w:tc>
        <w:tc>
          <w:tcPr>
            <w:tcW w:w="1200" w:type="dxa"/>
            <w:tcBorders>
              <w:top w:val="nil"/>
              <w:left w:val="nil"/>
              <w:bottom w:val="single" w:sz="4" w:space="0" w:color="auto"/>
              <w:right w:val="single" w:sz="4" w:space="0" w:color="auto"/>
            </w:tcBorders>
            <w:shd w:val="clear" w:color="auto" w:fill="auto"/>
            <w:noWrap/>
            <w:vAlign w:val="bottom"/>
            <w:hideMark/>
          </w:tcPr>
          <w:p w14:paraId="6447D00B"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11,75%</w:t>
            </w:r>
          </w:p>
        </w:tc>
        <w:tc>
          <w:tcPr>
            <w:tcW w:w="1200" w:type="dxa"/>
            <w:tcBorders>
              <w:top w:val="nil"/>
              <w:left w:val="nil"/>
              <w:bottom w:val="single" w:sz="4" w:space="0" w:color="auto"/>
              <w:right w:val="single" w:sz="4" w:space="0" w:color="auto"/>
            </w:tcBorders>
            <w:shd w:val="clear" w:color="auto" w:fill="auto"/>
            <w:noWrap/>
            <w:vAlign w:val="bottom"/>
            <w:hideMark/>
          </w:tcPr>
          <w:p w14:paraId="32053347"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17,16%</w:t>
            </w:r>
          </w:p>
        </w:tc>
        <w:tc>
          <w:tcPr>
            <w:tcW w:w="1218" w:type="dxa"/>
            <w:tcBorders>
              <w:top w:val="nil"/>
              <w:left w:val="nil"/>
              <w:bottom w:val="single" w:sz="4" w:space="0" w:color="auto"/>
              <w:right w:val="single" w:sz="4" w:space="0" w:color="auto"/>
            </w:tcBorders>
            <w:shd w:val="clear" w:color="auto" w:fill="auto"/>
            <w:noWrap/>
            <w:vAlign w:val="bottom"/>
            <w:hideMark/>
          </w:tcPr>
          <w:p w14:paraId="0C8CF93F"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-3,18%</w:t>
            </w:r>
          </w:p>
        </w:tc>
        <w:tc>
          <w:tcPr>
            <w:tcW w:w="1320" w:type="dxa"/>
            <w:tcBorders>
              <w:top w:val="nil"/>
              <w:left w:val="nil"/>
              <w:bottom w:val="single" w:sz="4" w:space="0" w:color="auto"/>
              <w:right w:val="single" w:sz="4" w:space="0" w:color="auto"/>
            </w:tcBorders>
            <w:shd w:val="clear" w:color="auto" w:fill="auto"/>
            <w:noWrap/>
            <w:vAlign w:val="bottom"/>
            <w:hideMark/>
          </w:tcPr>
          <w:p w14:paraId="1742A02F"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5,41%</w:t>
            </w:r>
          </w:p>
        </w:tc>
      </w:tr>
      <w:tr w:rsidR="00A34F6F" w:rsidRPr="00A34F6F" w14:paraId="7DAE5F83" w14:textId="77777777" w:rsidTr="00A34F6F">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4C343F2" w14:textId="77777777" w:rsidR="00A34F6F" w:rsidRPr="00A34F6F" w:rsidRDefault="00A34F6F" w:rsidP="00A34F6F">
            <w:pPr>
              <w:spacing w:after="0" w:line="240" w:lineRule="auto"/>
              <w:rPr>
                <w:rFonts w:ascii="Calibri" w:eastAsia="Times New Roman" w:hAnsi="Calibri" w:cs="Calibri"/>
                <w:color w:val="000000"/>
                <w:lang w:eastAsia="es-AR"/>
              </w:rPr>
            </w:pPr>
            <w:r w:rsidRPr="00A34F6F">
              <w:rPr>
                <w:rFonts w:ascii="Calibri" w:eastAsia="Times New Roman" w:hAnsi="Calibri" w:cs="Calibri"/>
                <w:color w:val="000000"/>
                <w:lang w:eastAsia="es-AR"/>
              </w:rPr>
              <w:t>Población</w:t>
            </w:r>
          </w:p>
        </w:tc>
        <w:tc>
          <w:tcPr>
            <w:tcW w:w="1297" w:type="dxa"/>
            <w:tcBorders>
              <w:top w:val="nil"/>
              <w:left w:val="nil"/>
              <w:bottom w:val="single" w:sz="4" w:space="0" w:color="auto"/>
              <w:right w:val="single" w:sz="4" w:space="0" w:color="auto"/>
            </w:tcBorders>
            <w:shd w:val="clear" w:color="auto" w:fill="auto"/>
            <w:noWrap/>
            <w:vAlign w:val="bottom"/>
            <w:hideMark/>
          </w:tcPr>
          <w:p w14:paraId="421264DE"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5,75%</w:t>
            </w:r>
          </w:p>
        </w:tc>
        <w:tc>
          <w:tcPr>
            <w:tcW w:w="1200" w:type="dxa"/>
            <w:tcBorders>
              <w:top w:val="nil"/>
              <w:left w:val="nil"/>
              <w:bottom w:val="single" w:sz="4" w:space="0" w:color="auto"/>
              <w:right w:val="single" w:sz="4" w:space="0" w:color="auto"/>
            </w:tcBorders>
            <w:shd w:val="clear" w:color="auto" w:fill="auto"/>
            <w:noWrap/>
            <w:vAlign w:val="bottom"/>
            <w:hideMark/>
          </w:tcPr>
          <w:p w14:paraId="56B47D33"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5,58%</w:t>
            </w:r>
          </w:p>
        </w:tc>
        <w:tc>
          <w:tcPr>
            <w:tcW w:w="1200" w:type="dxa"/>
            <w:tcBorders>
              <w:top w:val="nil"/>
              <w:left w:val="nil"/>
              <w:bottom w:val="single" w:sz="4" w:space="0" w:color="auto"/>
              <w:right w:val="single" w:sz="4" w:space="0" w:color="auto"/>
            </w:tcBorders>
            <w:shd w:val="clear" w:color="auto" w:fill="auto"/>
            <w:noWrap/>
            <w:vAlign w:val="bottom"/>
            <w:hideMark/>
          </w:tcPr>
          <w:p w14:paraId="65340496"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5,48%</w:t>
            </w:r>
          </w:p>
        </w:tc>
        <w:tc>
          <w:tcPr>
            <w:tcW w:w="1218" w:type="dxa"/>
            <w:tcBorders>
              <w:top w:val="nil"/>
              <w:left w:val="nil"/>
              <w:bottom w:val="single" w:sz="4" w:space="0" w:color="auto"/>
              <w:right w:val="single" w:sz="4" w:space="0" w:color="auto"/>
            </w:tcBorders>
            <w:shd w:val="clear" w:color="auto" w:fill="auto"/>
            <w:noWrap/>
            <w:vAlign w:val="bottom"/>
            <w:hideMark/>
          </w:tcPr>
          <w:p w14:paraId="17A0E063"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-0,17%</w:t>
            </w:r>
          </w:p>
        </w:tc>
        <w:tc>
          <w:tcPr>
            <w:tcW w:w="1320" w:type="dxa"/>
            <w:tcBorders>
              <w:top w:val="nil"/>
              <w:left w:val="nil"/>
              <w:bottom w:val="single" w:sz="4" w:space="0" w:color="auto"/>
              <w:right w:val="single" w:sz="4" w:space="0" w:color="auto"/>
            </w:tcBorders>
            <w:shd w:val="clear" w:color="auto" w:fill="auto"/>
            <w:noWrap/>
            <w:vAlign w:val="bottom"/>
            <w:hideMark/>
          </w:tcPr>
          <w:p w14:paraId="11CCED0A"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-0,10%</w:t>
            </w:r>
          </w:p>
        </w:tc>
      </w:tr>
      <w:tr w:rsidR="00A34F6F" w:rsidRPr="00A34F6F" w14:paraId="35FB45B2" w14:textId="77777777" w:rsidTr="00A34F6F">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5931E5A" w14:textId="77777777" w:rsidR="00A34F6F" w:rsidRPr="00A34F6F" w:rsidRDefault="00A34F6F" w:rsidP="00A34F6F">
            <w:pPr>
              <w:spacing w:after="0" w:line="240" w:lineRule="auto"/>
              <w:rPr>
                <w:rFonts w:ascii="Calibri" w:eastAsia="Times New Roman" w:hAnsi="Calibri" w:cs="Calibri"/>
                <w:color w:val="000000"/>
                <w:lang w:eastAsia="es-AR"/>
              </w:rPr>
            </w:pPr>
            <w:r w:rsidRPr="00A34F6F">
              <w:rPr>
                <w:rFonts w:ascii="Calibri" w:eastAsia="Times New Roman" w:hAnsi="Calibri" w:cs="Calibri"/>
                <w:color w:val="000000"/>
                <w:lang w:eastAsia="es-AR"/>
              </w:rPr>
              <w:t>Entorno Macroeconómico e Institucional</w:t>
            </w:r>
          </w:p>
        </w:tc>
        <w:tc>
          <w:tcPr>
            <w:tcW w:w="1297" w:type="dxa"/>
            <w:tcBorders>
              <w:top w:val="nil"/>
              <w:left w:val="nil"/>
              <w:bottom w:val="single" w:sz="4" w:space="0" w:color="auto"/>
              <w:right w:val="single" w:sz="4" w:space="0" w:color="auto"/>
            </w:tcBorders>
            <w:shd w:val="clear" w:color="auto" w:fill="auto"/>
            <w:noWrap/>
            <w:vAlign w:val="bottom"/>
            <w:hideMark/>
          </w:tcPr>
          <w:p w14:paraId="18001C9E"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20,06%</w:t>
            </w:r>
          </w:p>
        </w:tc>
        <w:tc>
          <w:tcPr>
            <w:tcW w:w="1200" w:type="dxa"/>
            <w:tcBorders>
              <w:top w:val="nil"/>
              <w:left w:val="nil"/>
              <w:bottom w:val="single" w:sz="4" w:space="0" w:color="auto"/>
              <w:right w:val="single" w:sz="4" w:space="0" w:color="auto"/>
            </w:tcBorders>
            <w:shd w:val="clear" w:color="auto" w:fill="auto"/>
            <w:noWrap/>
            <w:vAlign w:val="bottom"/>
            <w:hideMark/>
          </w:tcPr>
          <w:p w14:paraId="57569C88"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22,75%</w:t>
            </w:r>
          </w:p>
        </w:tc>
        <w:tc>
          <w:tcPr>
            <w:tcW w:w="1200" w:type="dxa"/>
            <w:tcBorders>
              <w:top w:val="nil"/>
              <w:left w:val="nil"/>
              <w:bottom w:val="single" w:sz="4" w:space="0" w:color="auto"/>
              <w:right w:val="single" w:sz="4" w:space="0" w:color="auto"/>
            </w:tcBorders>
            <w:shd w:val="clear" w:color="auto" w:fill="auto"/>
            <w:noWrap/>
            <w:vAlign w:val="bottom"/>
            <w:hideMark/>
          </w:tcPr>
          <w:p w14:paraId="30C00405"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33,09%</w:t>
            </w:r>
          </w:p>
        </w:tc>
        <w:tc>
          <w:tcPr>
            <w:tcW w:w="1218" w:type="dxa"/>
            <w:tcBorders>
              <w:top w:val="nil"/>
              <w:left w:val="nil"/>
              <w:bottom w:val="single" w:sz="4" w:space="0" w:color="auto"/>
              <w:right w:val="single" w:sz="4" w:space="0" w:color="auto"/>
            </w:tcBorders>
            <w:shd w:val="clear" w:color="auto" w:fill="auto"/>
            <w:noWrap/>
            <w:vAlign w:val="bottom"/>
            <w:hideMark/>
          </w:tcPr>
          <w:p w14:paraId="5166FBE6"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2,69%</w:t>
            </w:r>
          </w:p>
        </w:tc>
        <w:tc>
          <w:tcPr>
            <w:tcW w:w="1320" w:type="dxa"/>
            <w:tcBorders>
              <w:top w:val="nil"/>
              <w:left w:val="nil"/>
              <w:bottom w:val="single" w:sz="4" w:space="0" w:color="auto"/>
              <w:right w:val="single" w:sz="4" w:space="0" w:color="auto"/>
            </w:tcBorders>
            <w:shd w:val="clear" w:color="auto" w:fill="auto"/>
            <w:noWrap/>
            <w:vAlign w:val="bottom"/>
            <w:hideMark/>
          </w:tcPr>
          <w:p w14:paraId="76DA765A"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10,34%</w:t>
            </w:r>
          </w:p>
        </w:tc>
      </w:tr>
      <w:tr w:rsidR="00A34F6F" w:rsidRPr="00A34F6F" w14:paraId="27477309" w14:textId="77777777" w:rsidTr="00A34F6F">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3AD7FD4" w14:textId="77777777" w:rsidR="00A34F6F" w:rsidRPr="00A34F6F" w:rsidRDefault="00A34F6F" w:rsidP="00A34F6F">
            <w:pPr>
              <w:spacing w:after="0" w:line="240" w:lineRule="auto"/>
              <w:rPr>
                <w:rFonts w:ascii="Calibri" w:eastAsia="Times New Roman" w:hAnsi="Calibri" w:cs="Calibri"/>
                <w:color w:val="000000"/>
                <w:lang w:eastAsia="es-AR"/>
              </w:rPr>
            </w:pPr>
            <w:r w:rsidRPr="00A34F6F">
              <w:rPr>
                <w:rFonts w:ascii="Calibri" w:eastAsia="Times New Roman" w:hAnsi="Calibri" w:cs="Calibri"/>
                <w:color w:val="000000"/>
                <w:lang w:eastAsia="es-AR"/>
              </w:rPr>
              <w:t>Desempeño Económico</w:t>
            </w:r>
          </w:p>
        </w:tc>
        <w:tc>
          <w:tcPr>
            <w:tcW w:w="1297" w:type="dxa"/>
            <w:tcBorders>
              <w:top w:val="nil"/>
              <w:left w:val="nil"/>
              <w:bottom w:val="single" w:sz="4" w:space="0" w:color="auto"/>
              <w:right w:val="single" w:sz="4" w:space="0" w:color="auto"/>
            </w:tcBorders>
            <w:shd w:val="clear" w:color="auto" w:fill="auto"/>
            <w:noWrap/>
            <w:vAlign w:val="bottom"/>
            <w:hideMark/>
          </w:tcPr>
          <w:p w14:paraId="320DAA67"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55,61%</w:t>
            </w:r>
          </w:p>
        </w:tc>
        <w:tc>
          <w:tcPr>
            <w:tcW w:w="1200" w:type="dxa"/>
            <w:tcBorders>
              <w:top w:val="nil"/>
              <w:left w:val="nil"/>
              <w:bottom w:val="single" w:sz="4" w:space="0" w:color="auto"/>
              <w:right w:val="single" w:sz="4" w:space="0" w:color="auto"/>
            </w:tcBorders>
            <w:shd w:val="clear" w:color="auto" w:fill="auto"/>
            <w:noWrap/>
            <w:vAlign w:val="bottom"/>
            <w:hideMark/>
          </w:tcPr>
          <w:p w14:paraId="514F08B5"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68,76%</w:t>
            </w:r>
          </w:p>
        </w:tc>
        <w:tc>
          <w:tcPr>
            <w:tcW w:w="1200" w:type="dxa"/>
            <w:tcBorders>
              <w:top w:val="nil"/>
              <w:left w:val="nil"/>
              <w:bottom w:val="single" w:sz="4" w:space="0" w:color="auto"/>
              <w:right w:val="single" w:sz="4" w:space="0" w:color="auto"/>
            </w:tcBorders>
            <w:shd w:val="clear" w:color="auto" w:fill="auto"/>
            <w:noWrap/>
            <w:vAlign w:val="bottom"/>
            <w:hideMark/>
          </w:tcPr>
          <w:p w14:paraId="600DF90B"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78,50%</w:t>
            </w:r>
          </w:p>
        </w:tc>
        <w:tc>
          <w:tcPr>
            <w:tcW w:w="1218" w:type="dxa"/>
            <w:tcBorders>
              <w:top w:val="nil"/>
              <w:left w:val="nil"/>
              <w:bottom w:val="single" w:sz="4" w:space="0" w:color="auto"/>
              <w:right w:val="single" w:sz="4" w:space="0" w:color="auto"/>
            </w:tcBorders>
            <w:shd w:val="clear" w:color="auto" w:fill="auto"/>
            <w:noWrap/>
            <w:vAlign w:val="bottom"/>
            <w:hideMark/>
          </w:tcPr>
          <w:p w14:paraId="13180D6A"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13,15%</w:t>
            </w:r>
          </w:p>
        </w:tc>
        <w:tc>
          <w:tcPr>
            <w:tcW w:w="1320" w:type="dxa"/>
            <w:tcBorders>
              <w:top w:val="nil"/>
              <w:left w:val="nil"/>
              <w:bottom w:val="single" w:sz="4" w:space="0" w:color="auto"/>
              <w:right w:val="single" w:sz="4" w:space="0" w:color="auto"/>
            </w:tcBorders>
            <w:shd w:val="clear" w:color="auto" w:fill="auto"/>
            <w:noWrap/>
            <w:vAlign w:val="bottom"/>
            <w:hideMark/>
          </w:tcPr>
          <w:p w14:paraId="1CC75CFF"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9,74%</w:t>
            </w:r>
          </w:p>
        </w:tc>
      </w:tr>
      <w:tr w:rsidR="00A34F6F" w:rsidRPr="00A34F6F" w14:paraId="0172D46B" w14:textId="77777777" w:rsidTr="00A34F6F">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B14F649" w14:textId="77777777" w:rsidR="00A34F6F" w:rsidRPr="00A34F6F" w:rsidRDefault="00A34F6F" w:rsidP="00A34F6F">
            <w:pPr>
              <w:spacing w:after="0" w:line="240" w:lineRule="auto"/>
              <w:rPr>
                <w:rFonts w:ascii="Calibri" w:eastAsia="Times New Roman" w:hAnsi="Calibri" w:cs="Calibri"/>
                <w:color w:val="000000"/>
                <w:lang w:eastAsia="es-AR"/>
              </w:rPr>
            </w:pPr>
            <w:r w:rsidRPr="00A34F6F">
              <w:rPr>
                <w:rFonts w:ascii="Calibri" w:eastAsia="Times New Roman" w:hAnsi="Calibri" w:cs="Calibri"/>
                <w:color w:val="000000"/>
                <w:lang w:eastAsia="es-AR"/>
              </w:rPr>
              <w:t>Sector Externo</w:t>
            </w:r>
          </w:p>
        </w:tc>
        <w:tc>
          <w:tcPr>
            <w:tcW w:w="1297" w:type="dxa"/>
            <w:tcBorders>
              <w:top w:val="nil"/>
              <w:left w:val="nil"/>
              <w:bottom w:val="single" w:sz="4" w:space="0" w:color="auto"/>
              <w:right w:val="single" w:sz="4" w:space="0" w:color="auto"/>
            </w:tcBorders>
            <w:shd w:val="clear" w:color="auto" w:fill="auto"/>
            <w:noWrap/>
            <w:vAlign w:val="bottom"/>
            <w:hideMark/>
          </w:tcPr>
          <w:p w14:paraId="6E393C70"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18,10%</w:t>
            </w:r>
          </w:p>
        </w:tc>
        <w:tc>
          <w:tcPr>
            <w:tcW w:w="1200" w:type="dxa"/>
            <w:tcBorders>
              <w:top w:val="nil"/>
              <w:left w:val="nil"/>
              <w:bottom w:val="single" w:sz="4" w:space="0" w:color="auto"/>
              <w:right w:val="single" w:sz="4" w:space="0" w:color="auto"/>
            </w:tcBorders>
            <w:shd w:val="clear" w:color="auto" w:fill="auto"/>
            <w:noWrap/>
            <w:vAlign w:val="bottom"/>
            <w:hideMark/>
          </w:tcPr>
          <w:p w14:paraId="24D08083"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16,63%</w:t>
            </w:r>
          </w:p>
        </w:tc>
        <w:tc>
          <w:tcPr>
            <w:tcW w:w="1200" w:type="dxa"/>
            <w:tcBorders>
              <w:top w:val="nil"/>
              <w:left w:val="nil"/>
              <w:bottom w:val="single" w:sz="4" w:space="0" w:color="auto"/>
              <w:right w:val="single" w:sz="4" w:space="0" w:color="auto"/>
            </w:tcBorders>
            <w:shd w:val="clear" w:color="auto" w:fill="auto"/>
            <w:noWrap/>
            <w:vAlign w:val="bottom"/>
            <w:hideMark/>
          </w:tcPr>
          <w:p w14:paraId="6DDEE3C0"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18,37%</w:t>
            </w:r>
          </w:p>
        </w:tc>
        <w:tc>
          <w:tcPr>
            <w:tcW w:w="1218" w:type="dxa"/>
            <w:tcBorders>
              <w:top w:val="nil"/>
              <w:left w:val="nil"/>
              <w:bottom w:val="single" w:sz="4" w:space="0" w:color="auto"/>
              <w:right w:val="single" w:sz="4" w:space="0" w:color="auto"/>
            </w:tcBorders>
            <w:shd w:val="clear" w:color="auto" w:fill="auto"/>
            <w:noWrap/>
            <w:vAlign w:val="bottom"/>
            <w:hideMark/>
          </w:tcPr>
          <w:p w14:paraId="1AD42581"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-1,47%</w:t>
            </w:r>
          </w:p>
        </w:tc>
        <w:tc>
          <w:tcPr>
            <w:tcW w:w="1320" w:type="dxa"/>
            <w:tcBorders>
              <w:top w:val="nil"/>
              <w:left w:val="nil"/>
              <w:bottom w:val="single" w:sz="4" w:space="0" w:color="auto"/>
              <w:right w:val="single" w:sz="4" w:space="0" w:color="auto"/>
            </w:tcBorders>
            <w:shd w:val="clear" w:color="auto" w:fill="auto"/>
            <w:noWrap/>
            <w:vAlign w:val="bottom"/>
            <w:hideMark/>
          </w:tcPr>
          <w:p w14:paraId="57AF76F1" w14:textId="77777777" w:rsidR="00A34F6F" w:rsidRPr="00A34F6F" w:rsidRDefault="00A34F6F" w:rsidP="00A34F6F">
            <w:pPr>
              <w:spacing w:after="0" w:line="240" w:lineRule="auto"/>
              <w:jc w:val="right"/>
              <w:rPr>
                <w:rFonts w:ascii="Calibri" w:eastAsia="Times New Roman" w:hAnsi="Calibri" w:cs="Calibri"/>
                <w:color w:val="000000"/>
                <w:lang w:eastAsia="es-AR"/>
              </w:rPr>
            </w:pPr>
            <w:r w:rsidRPr="00A34F6F">
              <w:rPr>
                <w:rFonts w:ascii="Calibri" w:eastAsia="Times New Roman" w:hAnsi="Calibri" w:cs="Calibri"/>
                <w:color w:val="000000"/>
                <w:lang w:eastAsia="es-AR"/>
              </w:rPr>
              <w:t>1,74%</w:t>
            </w:r>
          </w:p>
        </w:tc>
      </w:tr>
      <w:tr w:rsidR="00A34F6F" w:rsidRPr="00A34F6F" w14:paraId="6610C180" w14:textId="77777777" w:rsidTr="00A34F6F">
        <w:trPr>
          <w:trHeight w:val="300"/>
          <w:jc w:val="center"/>
        </w:trPr>
        <w:tc>
          <w:tcPr>
            <w:tcW w:w="3823" w:type="dxa"/>
            <w:tcBorders>
              <w:top w:val="nil"/>
              <w:left w:val="single" w:sz="4" w:space="0" w:color="auto"/>
              <w:bottom w:val="single" w:sz="4" w:space="0" w:color="auto"/>
              <w:right w:val="single" w:sz="4" w:space="0" w:color="auto"/>
            </w:tcBorders>
            <w:shd w:val="clear" w:color="000000" w:fill="DDEBF7"/>
            <w:noWrap/>
            <w:vAlign w:val="bottom"/>
            <w:hideMark/>
          </w:tcPr>
          <w:p w14:paraId="2D4BD0AF" w14:textId="77777777" w:rsidR="00A34F6F" w:rsidRPr="00A34F6F" w:rsidRDefault="00A34F6F" w:rsidP="00A34F6F">
            <w:pPr>
              <w:spacing w:after="0" w:line="240" w:lineRule="auto"/>
              <w:jc w:val="center"/>
              <w:rPr>
                <w:rFonts w:ascii="Calibri" w:eastAsia="Times New Roman" w:hAnsi="Calibri" w:cs="Calibri"/>
                <w:b/>
                <w:bCs/>
                <w:color w:val="000000"/>
                <w:lang w:eastAsia="es-AR"/>
              </w:rPr>
            </w:pPr>
            <w:r w:rsidRPr="00A34F6F">
              <w:rPr>
                <w:rFonts w:ascii="Calibri" w:eastAsia="Times New Roman" w:hAnsi="Calibri" w:cs="Calibri"/>
                <w:b/>
                <w:bCs/>
                <w:color w:val="000000"/>
                <w:lang w:eastAsia="es-AR"/>
              </w:rPr>
              <w:t>ÍNDICE DE COMPETITIVIDAD</w:t>
            </w:r>
          </w:p>
        </w:tc>
        <w:tc>
          <w:tcPr>
            <w:tcW w:w="1297" w:type="dxa"/>
            <w:tcBorders>
              <w:top w:val="nil"/>
              <w:left w:val="nil"/>
              <w:bottom w:val="single" w:sz="4" w:space="0" w:color="auto"/>
              <w:right w:val="single" w:sz="4" w:space="0" w:color="auto"/>
            </w:tcBorders>
            <w:shd w:val="clear" w:color="000000" w:fill="DDEBF7"/>
            <w:noWrap/>
            <w:vAlign w:val="bottom"/>
            <w:hideMark/>
          </w:tcPr>
          <w:p w14:paraId="50918BD0" w14:textId="77777777" w:rsidR="00A34F6F" w:rsidRPr="00A34F6F" w:rsidRDefault="00A34F6F" w:rsidP="00A34F6F">
            <w:pPr>
              <w:spacing w:after="0" w:line="240" w:lineRule="auto"/>
              <w:jc w:val="right"/>
              <w:rPr>
                <w:rFonts w:ascii="Calibri" w:eastAsia="Times New Roman" w:hAnsi="Calibri" w:cs="Calibri"/>
                <w:b/>
                <w:bCs/>
                <w:color w:val="000000"/>
                <w:lang w:eastAsia="es-AR"/>
              </w:rPr>
            </w:pPr>
            <w:r w:rsidRPr="00A34F6F">
              <w:rPr>
                <w:rFonts w:ascii="Calibri" w:eastAsia="Times New Roman" w:hAnsi="Calibri" w:cs="Calibri"/>
                <w:b/>
                <w:bCs/>
                <w:color w:val="000000"/>
                <w:lang w:eastAsia="es-AR"/>
              </w:rPr>
              <w:t>21,04%</w:t>
            </w:r>
          </w:p>
        </w:tc>
        <w:tc>
          <w:tcPr>
            <w:tcW w:w="1200" w:type="dxa"/>
            <w:tcBorders>
              <w:top w:val="nil"/>
              <w:left w:val="nil"/>
              <w:bottom w:val="single" w:sz="4" w:space="0" w:color="auto"/>
              <w:right w:val="single" w:sz="4" w:space="0" w:color="auto"/>
            </w:tcBorders>
            <w:shd w:val="clear" w:color="000000" w:fill="DDEBF7"/>
            <w:noWrap/>
            <w:vAlign w:val="bottom"/>
            <w:hideMark/>
          </w:tcPr>
          <w:p w14:paraId="7AAD7F6A" w14:textId="77777777" w:rsidR="00A34F6F" w:rsidRPr="00A34F6F" w:rsidRDefault="00A34F6F" w:rsidP="00A34F6F">
            <w:pPr>
              <w:spacing w:after="0" w:line="240" w:lineRule="auto"/>
              <w:jc w:val="right"/>
              <w:rPr>
                <w:rFonts w:ascii="Calibri" w:eastAsia="Times New Roman" w:hAnsi="Calibri" w:cs="Calibri"/>
                <w:b/>
                <w:bCs/>
                <w:color w:val="000000"/>
                <w:lang w:eastAsia="es-AR"/>
              </w:rPr>
            </w:pPr>
            <w:r w:rsidRPr="00A34F6F">
              <w:rPr>
                <w:rFonts w:ascii="Calibri" w:eastAsia="Times New Roman" w:hAnsi="Calibri" w:cs="Calibri"/>
                <w:b/>
                <w:bCs/>
                <w:color w:val="000000"/>
                <w:lang w:eastAsia="es-AR"/>
              </w:rPr>
              <w:t>22,99%</w:t>
            </w:r>
          </w:p>
        </w:tc>
        <w:tc>
          <w:tcPr>
            <w:tcW w:w="1200" w:type="dxa"/>
            <w:tcBorders>
              <w:top w:val="nil"/>
              <w:left w:val="nil"/>
              <w:bottom w:val="single" w:sz="4" w:space="0" w:color="auto"/>
              <w:right w:val="single" w:sz="4" w:space="0" w:color="auto"/>
            </w:tcBorders>
            <w:shd w:val="clear" w:color="000000" w:fill="DDEBF7"/>
            <w:noWrap/>
            <w:vAlign w:val="bottom"/>
            <w:hideMark/>
          </w:tcPr>
          <w:p w14:paraId="6CFE0DBA" w14:textId="77777777" w:rsidR="00A34F6F" w:rsidRPr="00A34F6F" w:rsidRDefault="00A34F6F" w:rsidP="00A34F6F">
            <w:pPr>
              <w:spacing w:after="0" w:line="240" w:lineRule="auto"/>
              <w:jc w:val="right"/>
              <w:rPr>
                <w:rFonts w:ascii="Calibri" w:eastAsia="Times New Roman" w:hAnsi="Calibri" w:cs="Calibri"/>
                <w:b/>
                <w:bCs/>
                <w:color w:val="000000"/>
                <w:lang w:eastAsia="es-AR"/>
              </w:rPr>
            </w:pPr>
            <w:r w:rsidRPr="00A34F6F">
              <w:rPr>
                <w:rFonts w:ascii="Calibri" w:eastAsia="Times New Roman" w:hAnsi="Calibri" w:cs="Calibri"/>
                <w:b/>
                <w:bCs/>
                <w:color w:val="000000"/>
                <w:lang w:eastAsia="es-AR"/>
              </w:rPr>
              <w:t>27,61%</w:t>
            </w:r>
          </w:p>
        </w:tc>
        <w:tc>
          <w:tcPr>
            <w:tcW w:w="1218" w:type="dxa"/>
            <w:tcBorders>
              <w:top w:val="nil"/>
              <w:left w:val="nil"/>
              <w:bottom w:val="single" w:sz="4" w:space="0" w:color="auto"/>
              <w:right w:val="single" w:sz="4" w:space="0" w:color="auto"/>
            </w:tcBorders>
            <w:shd w:val="clear" w:color="000000" w:fill="DDEBF7"/>
            <w:noWrap/>
            <w:vAlign w:val="bottom"/>
            <w:hideMark/>
          </w:tcPr>
          <w:p w14:paraId="69617B19" w14:textId="77777777" w:rsidR="00A34F6F" w:rsidRPr="00A34F6F" w:rsidRDefault="00A34F6F" w:rsidP="00A34F6F">
            <w:pPr>
              <w:spacing w:after="0" w:line="240" w:lineRule="auto"/>
              <w:jc w:val="right"/>
              <w:rPr>
                <w:rFonts w:ascii="Calibri" w:eastAsia="Times New Roman" w:hAnsi="Calibri" w:cs="Calibri"/>
                <w:b/>
                <w:bCs/>
                <w:color w:val="000000"/>
                <w:lang w:eastAsia="es-AR"/>
              </w:rPr>
            </w:pPr>
            <w:r w:rsidRPr="00A34F6F">
              <w:rPr>
                <w:rFonts w:ascii="Calibri" w:eastAsia="Times New Roman" w:hAnsi="Calibri" w:cs="Calibri"/>
                <w:b/>
                <w:bCs/>
                <w:color w:val="000000"/>
                <w:lang w:eastAsia="es-AR"/>
              </w:rPr>
              <w:t>1,95%</w:t>
            </w:r>
          </w:p>
        </w:tc>
        <w:tc>
          <w:tcPr>
            <w:tcW w:w="1320" w:type="dxa"/>
            <w:tcBorders>
              <w:top w:val="nil"/>
              <w:left w:val="nil"/>
              <w:bottom w:val="single" w:sz="4" w:space="0" w:color="auto"/>
              <w:right w:val="single" w:sz="4" w:space="0" w:color="auto"/>
            </w:tcBorders>
            <w:shd w:val="clear" w:color="000000" w:fill="DDEBF7"/>
            <w:noWrap/>
            <w:vAlign w:val="bottom"/>
            <w:hideMark/>
          </w:tcPr>
          <w:p w14:paraId="5BBC68E3" w14:textId="77777777" w:rsidR="00A34F6F" w:rsidRPr="00A34F6F" w:rsidRDefault="00A34F6F" w:rsidP="00A34F6F">
            <w:pPr>
              <w:spacing w:after="0" w:line="240" w:lineRule="auto"/>
              <w:jc w:val="right"/>
              <w:rPr>
                <w:rFonts w:ascii="Calibri" w:eastAsia="Times New Roman" w:hAnsi="Calibri" w:cs="Calibri"/>
                <w:b/>
                <w:bCs/>
                <w:color w:val="000000"/>
                <w:lang w:eastAsia="es-AR"/>
              </w:rPr>
            </w:pPr>
            <w:r w:rsidRPr="00A34F6F">
              <w:rPr>
                <w:rFonts w:ascii="Calibri" w:eastAsia="Times New Roman" w:hAnsi="Calibri" w:cs="Calibri"/>
                <w:b/>
                <w:bCs/>
                <w:color w:val="000000"/>
                <w:lang w:eastAsia="es-AR"/>
              </w:rPr>
              <w:t>4,62%</w:t>
            </w:r>
          </w:p>
        </w:tc>
      </w:tr>
    </w:tbl>
    <w:p w14:paraId="3DED24BA" w14:textId="4AB79E40" w:rsidR="007A3057" w:rsidRDefault="00A34F6F" w:rsidP="00B93491">
      <w:pPr>
        <w:spacing w:line="276" w:lineRule="auto"/>
        <w:ind w:hanging="142"/>
      </w:pPr>
      <w:r>
        <w:t xml:space="preserve"> </w:t>
      </w:r>
      <w:r>
        <w:tab/>
        <w:t>Fuente: elaboración propia.</w:t>
      </w:r>
    </w:p>
    <w:p w14:paraId="4DA6D953" w14:textId="77777777" w:rsidR="007A3057" w:rsidRDefault="007A3057" w:rsidP="00B93491">
      <w:pPr>
        <w:spacing w:line="276" w:lineRule="auto"/>
        <w:ind w:hanging="142"/>
      </w:pPr>
    </w:p>
    <w:p w14:paraId="14EC1242" w14:textId="77777777" w:rsidR="00A34F6F" w:rsidRDefault="00A34F6F" w:rsidP="00A34F6F">
      <w:pPr>
        <w:pStyle w:val="Prrafodelista"/>
        <w:numPr>
          <w:ilvl w:val="0"/>
          <w:numId w:val="4"/>
        </w:numPr>
        <w:spacing w:line="276" w:lineRule="auto"/>
        <w:jc w:val="both"/>
      </w:pPr>
      <w:r>
        <w:t>Gráfico N° 1: Índice de competitividad.</w:t>
      </w:r>
    </w:p>
    <w:p w14:paraId="3F851DEE" w14:textId="77777777" w:rsidR="00A34F6F" w:rsidRDefault="00A34F6F" w:rsidP="00B93491">
      <w:pPr>
        <w:spacing w:line="276" w:lineRule="auto"/>
        <w:jc w:val="center"/>
      </w:pPr>
      <w:r>
        <w:rPr>
          <w:noProof/>
          <w:lang w:val="en-US"/>
        </w:rPr>
        <w:drawing>
          <wp:inline distT="0" distB="0" distL="0" distR="0" wp14:anchorId="2A22615E" wp14:editId="03FE2B45">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0DA16E3" w14:textId="77777777" w:rsidR="00B93491" w:rsidRDefault="00B93491" w:rsidP="00B93491">
      <w:pPr>
        <w:spacing w:line="276" w:lineRule="auto"/>
      </w:pPr>
      <w:r>
        <w:t>Fuente: elaboración propia.</w:t>
      </w:r>
    </w:p>
    <w:p w14:paraId="79AD0416" w14:textId="77777777" w:rsidR="009873AF" w:rsidRDefault="00A34F6F" w:rsidP="003F3FE8">
      <w:pPr>
        <w:spacing w:line="276" w:lineRule="auto"/>
        <w:jc w:val="both"/>
      </w:pPr>
      <w:r>
        <w:tab/>
      </w:r>
      <w:r w:rsidR="00DA01EE">
        <w:t xml:space="preserve"> </w:t>
      </w:r>
    </w:p>
    <w:p w14:paraId="7D82C97B" w14:textId="77777777" w:rsidR="00C74A3A" w:rsidRDefault="00C74A3A" w:rsidP="00CC35AA">
      <w:pPr>
        <w:spacing w:line="276" w:lineRule="auto"/>
        <w:jc w:val="both"/>
      </w:pPr>
    </w:p>
    <w:p w14:paraId="1D787FE0" w14:textId="77777777" w:rsidR="00532A61" w:rsidRDefault="00532A61" w:rsidP="009B016D">
      <w:pPr>
        <w:jc w:val="both"/>
      </w:pPr>
    </w:p>
    <w:p w14:paraId="32CE8885" w14:textId="77777777" w:rsidR="00D94EE0" w:rsidRDefault="00D94EE0" w:rsidP="002332E9">
      <w:pPr>
        <w:pStyle w:val="Prrafodelista"/>
        <w:jc w:val="both"/>
      </w:pPr>
    </w:p>
    <w:p w14:paraId="38582F7B" w14:textId="77777777" w:rsidR="00083EC4" w:rsidRDefault="00083EC4" w:rsidP="002332E9">
      <w:pPr>
        <w:pStyle w:val="Prrafodelista"/>
        <w:jc w:val="both"/>
      </w:pPr>
    </w:p>
    <w:sectPr w:rsidR="00083EC4" w:rsidSect="00EF0E7D">
      <w:headerReference w:type="default" r:id="rId8"/>
      <w:footerReference w:type="default" r:id="rId9"/>
      <w:headerReference w:type="first" r:id="rId10"/>
      <w:foot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178D0" w14:textId="77777777" w:rsidR="00CF4F36" w:rsidRDefault="00CF4F36" w:rsidP="00EF0E7D">
      <w:pPr>
        <w:spacing w:after="0" w:line="240" w:lineRule="auto"/>
      </w:pPr>
      <w:r>
        <w:separator/>
      </w:r>
    </w:p>
  </w:endnote>
  <w:endnote w:type="continuationSeparator" w:id="0">
    <w:p w14:paraId="43EE4D62" w14:textId="77777777" w:rsidR="00CF4F36" w:rsidRDefault="00CF4F36" w:rsidP="00EF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387E6" w14:textId="07227D64" w:rsidR="00EF0E7D" w:rsidRDefault="00EF0E7D">
    <w:pPr>
      <w:pStyle w:val="Piedepgina"/>
    </w:pPr>
    <w:r>
      <w:rPr>
        <w:noProof/>
      </w:rPr>
      <w:drawing>
        <wp:anchor distT="0" distB="0" distL="114300" distR="114300" simplePos="0" relativeHeight="251668480" behindDoc="0" locked="0" layoutInCell="1" allowOverlap="1" wp14:anchorId="51312025" wp14:editId="1ACBA21E">
          <wp:simplePos x="0" y="0"/>
          <wp:positionH relativeFrom="page">
            <wp:align>left</wp:align>
          </wp:positionH>
          <wp:positionV relativeFrom="paragraph">
            <wp:posOffset>-285750</wp:posOffset>
          </wp:positionV>
          <wp:extent cx="7689717" cy="900000"/>
          <wp:effectExtent l="0" t="0" r="6985" b="0"/>
          <wp:wrapThrough wrapText="bothSides">
            <wp:wrapPolygon edited="0">
              <wp:start x="17927" y="0"/>
              <wp:lineTo x="17285" y="3201"/>
              <wp:lineTo x="17124" y="4573"/>
              <wp:lineTo x="17124" y="7317"/>
              <wp:lineTo x="0" y="14176"/>
              <wp:lineTo x="0" y="21036"/>
              <wp:lineTo x="21566" y="21036"/>
              <wp:lineTo x="21566" y="14176"/>
              <wp:lineTo x="19265" y="7317"/>
              <wp:lineTo x="19319" y="5488"/>
              <wp:lineTo x="19104" y="3201"/>
              <wp:lineTo x="18569" y="0"/>
              <wp:lineTo x="17927"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717" cy="90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F9FD8" w14:textId="3FFBD552" w:rsidR="00EF0E7D" w:rsidRDefault="00EF0E7D">
    <w:pPr>
      <w:pStyle w:val="Piedepgina"/>
    </w:pPr>
    <w:r>
      <w:rPr>
        <w:noProof/>
      </w:rPr>
      <w:drawing>
        <wp:anchor distT="0" distB="0" distL="114300" distR="114300" simplePos="0" relativeHeight="251666432" behindDoc="0" locked="0" layoutInCell="1" allowOverlap="1" wp14:anchorId="509D3647" wp14:editId="5C0C3351">
          <wp:simplePos x="0" y="0"/>
          <wp:positionH relativeFrom="page">
            <wp:align>right</wp:align>
          </wp:positionH>
          <wp:positionV relativeFrom="paragraph">
            <wp:posOffset>-289560</wp:posOffset>
          </wp:positionV>
          <wp:extent cx="7689717" cy="900000"/>
          <wp:effectExtent l="0" t="0" r="6985" b="0"/>
          <wp:wrapThrough wrapText="bothSides">
            <wp:wrapPolygon edited="0">
              <wp:start x="17927" y="0"/>
              <wp:lineTo x="17285" y="3201"/>
              <wp:lineTo x="17124" y="4573"/>
              <wp:lineTo x="17124" y="7317"/>
              <wp:lineTo x="0" y="14176"/>
              <wp:lineTo x="0" y="21036"/>
              <wp:lineTo x="21566" y="21036"/>
              <wp:lineTo x="21566" y="14176"/>
              <wp:lineTo x="19265" y="7317"/>
              <wp:lineTo x="19319" y="5488"/>
              <wp:lineTo x="19104" y="3201"/>
              <wp:lineTo x="18569" y="0"/>
              <wp:lineTo x="17927"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717" cy="90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D7C85" w14:textId="77777777" w:rsidR="00CF4F36" w:rsidRDefault="00CF4F36" w:rsidP="00EF0E7D">
      <w:pPr>
        <w:spacing w:after="0" w:line="240" w:lineRule="auto"/>
      </w:pPr>
      <w:r>
        <w:separator/>
      </w:r>
    </w:p>
  </w:footnote>
  <w:footnote w:type="continuationSeparator" w:id="0">
    <w:p w14:paraId="0A39221A" w14:textId="77777777" w:rsidR="00CF4F36" w:rsidRDefault="00CF4F36" w:rsidP="00EF0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409A3" w14:textId="3940803A" w:rsidR="00FF2E6C" w:rsidRDefault="00FF2E6C">
    <w:pPr>
      <w:pStyle w:val="Encabezado"/>
    </w:pPr>
    <w:r>
      <w:rPr>
        <w:noProof/>
      </w:rPr>
      <w:drawing>
        <wp:anchor distT="0" distB="0" distL="114300" distR="114300" simplePos="0" relativeHeight="251669504" behindDoc="0" locked="0" layoutInCell="1" allowOverlap="1" wp14:anchorId="0895F961" wp14:editId="75BE55E7">
          <wp:simplePos x="0" y="0"/>
          <wp:positionH relativeFrom="page">
            <wp:align>right</wp:align>
          </wp:positionH>
          <wp:positionV relativeFrom="paragraph">
            <wp:posOffset>-449580</wp:posOffset>
          </wp:positionV>
          <wp:extent cx="936000" cy="1080000"/>
          <wp:effectExtent l="0" t="0" r="0" b="0"/>
          <wp:wrapThrough wrapText="bothSides">
            <wp:wrapPolygon edited="0">
              <wp:start x="11430" y="1144"/>
              <wp:lineTo x="9232" y="3049"/>
              <wp:lineTo x="6155" y="6480"/>
              <wp:lineTo x="5275" y="8386"/>
              <wp:lineTo x="1319" y="13722"/>
              <wp:lineTo x="879" y="17153"/>
              <wp:lineTo x="2198" y="19440"/>
              <wp:lineTo x="3957" y="20202"/>
              <wp:lineTo x="13189" y="20202"/>
              <wp:lineTo x="14947" y="19440"/>
              <wp:lineTo x="16266" y="16391"/>
              <wp:lineTo x="15826" y="14104"/>
              <wp:lineTo x="19343" y="13722"/>
              <wp:lineTo x="20223" y="9529"/>
              <wp:lineTo x="19343" y="7242"/>
              <wp:lineTo x="15826" y="3049"/>
              <wp:lineTo x="13628" y="1144"/>
              <wp:lineTo x="11430" y="1144"/>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96484" w14:textId="64D8F3BE" w:rsidR="00EF0E7D" w:rsidRDefault="00EF0E7D">
    <w:pPr>
      <w:pStyle w:val="Encabezado"/>
    </w:pPr>
    <w:r>
      <w:rPr>
        <w:noProof/>
      </w:rPr>
      <mc:AlternateContent>
        <mc:Choice Requires="wps">
          <w:drawing>
            <wp:anchor distT="0" distB="0" distL="114300" distR="114300" simplePos="0" relativeHeight="251665408" behindDoc="0" locked="0" layoutInCell="1" allowOverlap="1" wp14:anchorId="720BAA58" wp14:editId="77801BEA">
              <wp:simplePos x="0" y="0"/>
              <wp:positionH relativeFrom="column">
                <wp:posOffset>4482465</wp:posOffset>
              </wp:positionH>
              <wp:positionV relativeFrom="paragraph">
                <wp:posOffset>-116205</wp:posOffset>
              </wp:positionV>
              <wp:extent cx="533400" cy="4762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33400" cy="476250"/>
                      </a:xfrm>
                      <a:prstGeom prst="rect">
                        <a:avLst/>
                      </a:prstGeom>
                      <a:noFill/>
                      <a:ln w="6350">
                        <a:noFill/>
                      </a:ln>
                    </wps:spPr>
                    <wps:txbx>
                      <w:txbxContent>
                        <w:p w14:paraId="235D9145" w14:textId="2896D125" w:rsidR="00EF0E7D" w:rsidRPr="00EF0E7D" w:rsidRDefault="00EF0E7D">
                          <w:pPr>
                            <w:rPr>
                              <w:color w:val="FFFFFF" w:themeColor="background1"/>
                              <w:sz w:val="40"/>
                              <w:szCs w:val="40"/>
                            </w:rPr>
                          </w:pPr>
                          <w:r w:rsidRPr="00EF0E7D">
                            <w:rPr>
                              <w:color w:val="FFFFFF" w:themeColor="background1"/>
                              <w:sz w:val="40"/>
                              <w:szCs w:val="40"/>
                            </w:rPr>
                            <w:t>1</w:t>
                          </w:r>
                        </w:p>
                        <w:p w14:paraId="3CE23489" w14:textId="77777777" w:rsidR="00EF0E7D" w:rsidRPr="00EF0E7D" w:rsidRDefault="00EF0E7D">
                          <w:pP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BAA58" id="_x0000_t202" coordsize="21600,21600" o:spt="202" path="m,l,21600r21600,l21600,xe">
              <v:stroke joinstyle="miter"/>
              <v:path gradientshapeok="t" o:connecttype="rect"/>
            </v:shapetype>
            <v:shape id="Cuadro de texto 3" o:spid="_x0000_s1026" type="#_x0000_t202" style="position:absolute;margin-left:352.95pt;margin-top:-9.15pt;width:42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" filled="f" stroked="f" strokeweight=".5pt">
              <v:textbox>
                <w:txbxContent>
                  <w:p w14:paraId="235D9145" w14:textId="2896D125" w:rsidR="00EF0E7D" w:rsidRPr="00EF0E7D" w:rsidRDefault="00EF0E7D">
                    <w:pPr>
                      <w:rPr>
                        <w:color w:val="FFFFFF" w:themeColor="background1"/>
                        <w:sz w:val="40"/>
                        <w:szCs w:val="40"/>
                      </w:rPr>
                    </w:pPr>
                    <w:r w:rsidRPr="00EF0E7D">
                      <w:rPr>
                        <w:color w:val="FFFFFF" w:themeColor="background1"/>
                        <w:sz w:val="40"/>
                        <w:szCs w:val="40"/>
                      </w:rPr>
                      <w:t>1</w:t>
                    </w:r>
                  </w:p>
                  <w:p w14:paraId="3CE23489" w14:textId="77777777" w:rsidR="00EF0E7D" w:rsidRPr="00EF0E7D" w:rsidRDefault="00EF0E7D">
                    <w:pPr>
                      <w:rPr>
                        <w:color w:val="FFFFFF" w:themeColor="background1"/>
                        <w:sz w:val="40"/>
                        <w:szCs w:val="40"/>
                      </w:rPr>
                    </w:pP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02268DDE" wp14:editId="66497F20">
              <wp:simplePos x="0" y="0"/>
              <wp:positionH relativeFrom="column">
                <wp:posOffset>167640</wp:posOffset>
              </wp:positionH>
              <wp:positionV relativeFrom="paragraph">
                <wp:posOffset>1684020</wp:posOffset>
              </wp:positionV>
              <wp:extent cx="4000500" cy="7620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62000"/>
                      </a:xfrm>
                      <a:prstGeom prst="rect">
                        <a:avLst/>
                      </a:prstGeom>
                      <a:noFill/>
                      <a:ln w="9525">
                        <a:noFill/>
                        <a:miter lim="800000"/>
                        <a:headEnd/>
                        <a:tailEnd/>
                      </a:ln>
                    </wps:spPr>
                    <wps:txbx>
                      <w:txbxContent>
                        <w:p w14:paraId="63DD3F3E" w14:textId="77777777" w:rsidR="00EF0E7D" w:rsidRPr="00EF0E7D" w:rsidRDefault="00EF0E7D" w:rsidP="00EF0E7D">
                          <w:pPr>
                            <w:jc w:val="center"/>
                            <w:rPr>
                              <w:sz w:val="36"/>
                              <w:szCs w:val="36"/>
                            </w:rPr>
                          </w:pPr>
                          <w:r w:rsidRPr="00EF0E7D">
                            <w:rPr>
                              <w:sz w:val="36"/>
                              <w:szCs w:val="36"/>
                            </w:rPr>
                            <w:t>Resultados</w:t>
                          </w:r>
                          <w:r>
                            <w:rPr>
                              <w:sz w:val="36"/>
                              <w:szCs w:val="36"/>
                            </w:rPr>
                            <w:t>:</w:t>
                          </w:r>
                          <w:r w:rsidRPr="00EF0E7D">
                            <w:rPr>
                              <w:sz w:val="36"/>
                              <w:szCs w:val="36"/>
                            </w:rPr>
                            <w:t xml:space="preserve"> Índice de Competitividad de la Provincia de Salta 2018</w:t>
                          </w:r>
                          <w:r>
                            <w:rPr>
                              <w:sz w:val="36"/>
                              <w:szCs w:val="36"/>
                            </w:rPr>
                            <w:t xml:space="preserve"> - </w:t>
                          </w:r>
                          <w:r w:rsidRPr="00EF0E7D">
                            <w:rPr>
                              <w:sz w:val="36"/>
                              <w:szCs w:val="3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68DDE" id="Cuadro de texto 2" o:spid="_x0000_s1027" type="#_x0000_t202" style="position:absolute;margin-left:13.2pt;margin-top:132.6pt;width:315pt;height:6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" filled="f" stroked="f">
              <v:textbox>
                <w:txbxContent>
                  <w:p w14:paraId="63DD3F3E" w14:textId="77777777" w:rsidR="00EF0E7D" w:rsidRPr="00EF0E7D" w:rsidRDefault="00EF0E7D" w:rsidP="00EF0E7D">
                    <w:pPr>
                      <w:jc w:val="center"/>
                      <w:rPr>
                        <w:sz w:val="36"/>
                        <w:szCs w:val="36"/>
                      </w:rPr>
                    </w:pPr>
                    <w:r w:rsidRPr="00EF0E7D">
                      <w:rPr>
                        <w:sz w:val="36"/>
                        <w:szCs w:val="36"/>
                      </w:rPr>
                      <w:t>Resultados</w:t>
                    </w:r>
                    <w:r>
                      <w:rPr>
                        <w:sz w:val="36"/>
                        <w:szCs w:val="36"/>
                      </w:rPr>
                      <w:t>:</w:t>
                    </w:r>
                    <w:r w:rsidRPr="00EF0E7D">
                      <w:rPr>
                        <w:sz w:val="36"/>
                        <w:szCs w:val="36"/>
                      </w:rPr>
                      <w:t xml:space="preserve"> Índice de Competitividad de la Provincia de Salta 2018</w:t>
                    </w:r>
                    <w:r>
                      <w:rPr>
                        <w:sz w:val="36"/>
                        <w:szCs w:val="36"/>
                      </w:rPr>
                      <w:t xml:space="preserve"> - </w:t>
                    </w:r>
                    <w:r w:rsidRPr="00EF0E7D">
                      <w:rPr>
                        <w:sz w:val="36"/>
                        <w:szCs w:val="36"/>
                      </w:rPr>
                      <w:t>2020</w:t>
                    </w:r>
                  </w:p>
                </w:txbxContent>
              </v:textbox>
              <w10:wrap type="square"/>
            </v:shape>
          </w:pict>
        </mc:Fallback>
      </mc:AlternateContent>
    </w:r>
    <w:r>
      <w:rPr>
        <w:noProof/>
      </w:rPr>
      <w:drawing>
        <wp:anchor distT="0" distB="0" distL="114300" distR="114300" simplePos="0" relativeHeight="251662336" behindDoc="0" locked="0" layoutInCell="1" allowOverlap="1" wp14:anchorId="6A23F907" wp14:editId="49224BB8">
          <wp:simplePos x="0" y="0"/>
          <wp:positionH relativeFrom="page">
            <wp:align>right</wp:align>
          </wp:positionH>
          <wp:positionV relativeFrom="paragraph">
            <wp:posOffset>-448310</wp:posOffset>
          </wp:positionV>
          <wp:extent cx="7544782" cy="3744000"/>
          <wp:effectExtent l="0" t="0" r="0" b="889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4782" cy="374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845A5"/>
    <w:multiLevelType w:val="hybridMultilevel"/>
    <w:tmpl w:val="0D98C9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B885C2A"/>
    <w:multiLevelType w:val="hybridMultilevel"/>
    <w:tmpl w:val="D3FC0E88"/>
    <w:lvl w:ilvl="0" w:tplc="2C0A0009">
      <w:start w:val="1"/>
      <w:numFmt w:val="bullet"/>
      <w:lvlText w:val=""/>
      <w:lvlJc w:val="left"/>
      <w:pPr>
        <w:ind w:left="1426" w:hanging="360"/>
      </w:pPr>
      <w:rPr>
        <w:rFonts w:ascii="Wingdings" w:hAnsi="Wingdings" w:hint="default"/>
      </w:rPr>
    </w:lvl>
    <w:lvl w:ilvl="1" w:tplc="2C0A0003" w:tentative="1">
      <w:start w:val="1"/>
      <w:numFmt w:val="bullet"/>
      <w:lvlText w:val="o"/>
      <w:lvlJc w:val="left"/>
      <w:pPr>
        <w:ind w:left="2146" w:hanging="360"/>
      </w:pPr>
      <w:rPr>
        <w:rFonts w:ascii="Courier New" w:hAnsi="Courier New" w:cs="Courier New" w:hint="default"/>
      </w:rPr>
    </w:lvl>
    <w:lvl w:ilvl="2" w:tplc="2C0A0005" w:tentative="1">
      <w:start w:val="1"/>
      <w:numFmt w:val="bullet"/>
      <w:lvlText w:val=""/>
      <w:lvlJc w:val="left"/>
      <w:pPr>
        <w:ind w:left="2866" w:hanging="360"/>
      </w:pPr>
      <w:rPr>
        <w:rFonts w:ascii="Wingdings" w:hAnsi="Wingdings" w:hint="default"/>
      </w:rPr>
    </w:lvl>
    <w:lvl w:ilvl="3" w:tplc="2C0A0001" w:tentative="1">
      <w:start w:val="1"/>
      <w:numFmt w:val="bullet"/>
      <w:lvlText w:val=""/>
      <w:lvlJc w:val="left"/>
      <w:pPr>
        <w:ind w:left="3586" w:hanging="360"/>
      </w:pPr>
      <w:rPr>
        <w:rFonts w:ascii="Symbol" w:hAnsi="Symbol" w:hint="default"/>
      </w:rPr>
    </w:lvl>
    <w:lvl w:ilvl="4" w:tplc="2C0A0003" w:tentative="1">
      <w:start w:val="1"/>
      <w:numFmt w:val="bullet"/>
      <w:lvlText w:val="o"/>
      <w:lvlJc w:val="left"/>
      <w:pPr>
        <w:ind w:left="4306" w:hanging="360"/>
      </w:pPr>
      <w:rPr>
        <w:rFonts w:ascii="Courier New" w:hAnsi="Courier New" w:cs="Courier New" w:hint="default"/>
      </w:rPr>
    </w:lvl>
    <w:lvl w:ilvl="5" w:tplc="2C0A0005" w:tentative="1">
      <w:start w:val="1"/>
      <w:numFmt w:val="bullet"/>
      <w:lvlText w:val=""/>
      <w:lvlJc w:val="left"/>
      <w:pPr>
        <w:ind w:left="5026" w:hanging="360"/>
      </w:pPr>
      <w:rPr>
        <w:rFonts w:ascii="Wingdings" w:hAnsi="Wingdings" w:hint="default"/>
      </w:rPr>
    </w:lvl>
    <w:lvl w:ilvl="6" w:tplc="2C0A0001" w:tentative="1">
      <w:start w:val="1"/>
      <w:numFmt w:val="bullet"/>
      <w:lvlText w:val=""/>
      <w:lvlJc w:val="left"/>
      <w:pPr>
        <w:ind w:left="5746" w:hanging="360"/>
      </w:pPr>
      <w:rPr>
        <w:rFonts w:ascii="Symbol" w:hAnsi="Symbol" w:hint="default"/>
      </w:rPr>
    </w:lvl>
    <w:lvl w:ilvl="7" w:tplc="2C0A0003" w:tentative="1">
      <w:start w:val="1"/>
      <w:numFmt w:val="bullet"/>
      <w:lvlText w:val="o"/>
      <w:lvlJc w:val="left"/>
      <w:pPr>
        <w:ind w:left="6466" w:hanging="360"/>
      </w:pPr>
      <w:rPr>
        <w:rFonts w:ascii="Courier New" w:hAnsi="Courier New" w:cs="Courier New" w:hint="default"/>
      </w:rPr>
    </w:lvl>
    <w:lvl w:ilvl="8" w:tplc="2C0A0005" w:tentative="1">
      <w:start w:val="1"/>
      <w:numFmt w:val="bullet"/>
      <w:lvlText w:val=""/>
      <w:lvlJc w:val="left"/>
      <w:pPr>
        <w:ind w:left="7186" w:hanging="360"/>
      </w:pPr>
      <w:rPr>
        <w:rFonts w:ascii="Wingdings" w:hAnsi="Wingdings" w:hint="default"/>
      </w:rPr>
    </w:lvl>
  </w:abstractNum>
  <w:abstractNum w:abstractNumId="2" w15:restartNumberingAfterBreak="0">
    <w:nsid w:val="5DC2351F"/>
    <w:multiLevelType w:val="hybridMultilevel"/>
    <w:tmpl w:val="42CCE4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F6A7D4E"/>
    <w:multiLevelType w:val="hybridMultilevel"/>
    <w:tmpl w:val="F6DC1D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61"/>
    <w:rsid w:val="000100AA"/>
    <w:rsid w:val="00053DAA"/>
    <w:rsid w:val="00083EC4"/>
    <w:rsid w:val="000C6E33"/>
    <w:rsid w:val="000F190E"/>
    <w:rsid w:val="001226B1"/>
    <w:rsid w:val="00141D2C"/>
    <w:rsid w:val="001818A3"/>
    <w:rsid w:val="001B4445"/>
    <w:rsid w:val="001D3C78"/>
    <w:rsid w:val="00215B06"/>
    <w:rsid w:val="002332E9"/>
    <w:rsid w:val="00236681"/>
    <w:rsid w:val="00242061"/>
    <w:rsid w:val="00250496"/>
    <w:rsid w:val="002552D8"/>
    <w:rsid w:val="00271166"/>
    <w:rsid w:val="002813BC"/>
    <w:rsid w:val="002A48F8"/>
    <w:rsid w:val="002B471F"/>
    <w:rsid w:val="002D395E"/>
    <w:rsid w:val="002E3D90"/>
    <w:rsid w:val="003158C9"/>
    <w:rsid w:val="00327CCA"/>
    <w:rsid w:val="003326E9"/>
    <w:rsid w:val="0033387C"/>
    <w:rsid w:val="0033455A"/>
    <w:rsid w:val="003669B7"/>
    <w:rsid w:val="003F3FE8"/>
    <w:rsid w:val="003F7DBF"/>
    <w:rsid w:val="00415DD0"/>
    <w:rsid w:val="00447A75"/>
    <w:rsid w:val="00455B4A"/>
    <w:rsid w:val="004568A2"/>
    <w:rsid w:val="004B2A08"/>
    <w:rsid w:val="004E1092"/>
    <w:rsid w:val="004F491B"/>
    <w:rsid w:val="004F6818"/>
    <w:rsid w:val="00501C21"/>
    <w:rsid w:val="005166A8"/>
    <w:rsid w:val="00532A61"/>
    <w:rsid w:val="00587143"/>
    <w:rsid w:val="005B2C72"/>
    <w:rsid w:val="005C32A0"/>
    <w:rsid w:val="005D4160"/>
    <w:rsid w:val="005E769C"/>
    <w:rsid w:val="0065708E"/>
    <w:rsid w:val="0067043B"/>
    <w:rsid w:val="0069749E"/>
    <w:rsid w:val="006A058B"/>
    <w:rsid w:val="006C31BE"/>
    <w:rsid w:val="006C5FDE"/>
    <w:rsid w:val="00715D91"/>
    <w:rsid w:val="0073000C"/>
    <w:rsid w:val="00755B7E"/>
    <w:rsid w:val="00760389"/>
    <w:rsid w:val="007637E0"/>
    <w:rsid w:val="00775D42"/>
    <w:rsid w:val="0078696E"/>
    <w:rsid w:val="007A3057"/>
    <w:rsid w:val="007A54E7"/>
    <w:rsid w:val="00855662"/>
    <w:rsid w:val="008608FE"/>
    <w:rsid w:val="00866726"/>
    <w:rsid w:val="00894E47"/>
    <w:rsid w:val="008B7892"/>
    <w:rsid w:val="00900F99"/>
    <w:rsid w:val="009277FE"/>
    <w:rsid w:val="00946517"/>
    <w:rsid w:val="009873AF"/>
    <w:rsid w:val="0099216F"/>
    <w:rsid w:val="009B016D"/>
    <w:rsid w:val="009C4FB0"/>
    <w:rsid w:val="009C5AD7"/>
    <w:rsid w:val="009F32A1"/>
    <w:rsid w:val="00A34F6F"/>
    <w:rsid w:val="00A52C4E"/>
    <w:rsid w:val="00A53AAD"/>
    <w:rsid w:val="00A81107"/>
    <w:rsid w:val="00AD24C8"/>
    <w:rsid w:val="00B07AAE"/>
    <w:rsid w:val="00B12470"/>
    <w:rsid w:val="00B23192"/>
    <w:rsid w:val="00B6578C"/>
    <w:rsid w:val="00B73086"/>
    <w:rsid w:val="00B93491"/>
    <w:rsid w:val="00B9576F"/>
    <w:rsid w:val="00C14E3C"/>
    <w:rsid w:val="00C64D88"/>
    <w:rsid w:val="00C74A3A"/>
    <w:rsid w:val="00C848B6"/>
    <w:rsid w:val="00CC35AA"/>
    <w:rsid w:val="00CD53A0"/>
    <w:rsid w:val="00CE677B"/>
    <w:rsid w:val="00CF4F36"/>
    <w:rsid w:val="00D407FC"/>
    <w:rsid w:val="00D93775"/>
    <w:rsid w:val="00D94EE0"/>
    <w:rsid w:val="00DA01EE"/>
    <w:rsid w:val="00DB661A"/>
    <w:rsid w:val="00DC54B9"/>
    <w:rsid w:val="00DE2DA4"/>
    <w:rsid w:val="00E00480"/>
    <w:rsid w:val="00E06180"/>
    <w:rsid w:val="00E87C62"/>
    <w:rsid w:val="00ED3DB2"/>
    <w:rsid w:val="00EE1C85"/>
    <w:rsid w:val="00EF0E7D"/>
    <w:rsid w:val="00F5671D"/>
    <w:rsid w:val="00F63F6D"/>
    <w:rsid w:val="00F7084B"/>
    <w:rsid w:val="00FB2AD1"/>
    <w:rsid w:val="00FF1B60"/>
    <w:rsid w:val="00FF2E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D7AC3"/>
  <w15:chartTrackingRefBased/>
  <w15:docId w15:val="{4C2031CB-91D1-4B58-B9FB-843436D6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4EE0"/>
    <w:pPr>
      <w:ind w:left="720"/>
      <w:contextualSpacing/>
    </w:pPr>
  </w:style>
  <w:style w:type="paragraph" w:styleId="Encabezado">
    <w:name w:val="header"/>
    <w:basedOn w:val="Normal"/>
    <w:link w:val="EncabezadoCar"/>
    <w:uiPriority w:val="99"/>
    <w:unhideWhenUsed/>
    <w:rsid w:val="00EF0E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0E7D"/>
  </w:style>
  <w:style w:type="paragraph" w:styleId="Piedepgina">
    <w:name w:val="footer"/>
    <w:basedOn w:val="Normal"/>
    <w:link w:val="PiedepginaCar"/>
    <w:uiPriority w:val="99"/>
    <w:unhideWhenUsed/>
    <w:rsid w:val="00EF0E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0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2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s-AR"/>
        </a:p>
      </c:txPr>
    </c:title>
    <c:autoTitleDeleted val="0"/>
    <c:plotArea>
      <c:layout/>
      <c:lineChart>
        <c:grouping val="standard"/>
        <c:varyColors val="0"/>
        <c:ser>
          <c:idx val="0"/>
          <c:order val="0"/>
          <c:tx>
            <c:strRef>
              <c:f>'[índice de competitividad.xlsx]A'!$I$6</c:f>
              <c:strCache>
                <c:ptCount val="1"/>
                <c:pt idx="0">
                  <c:v>ÍNDICE DE COMPETITIVIDAD</c:v>
                </c:pt>
              </c:strCache>
            </c:strRef>
          </c:tx>
          <c:spPr>
            <a:ln w="31750" cap="rnd">
              <a:solidFill>
                <a:schemeClr val="accent1"/>
              </a:solidFill>
              <a:round/>
            </a:ln>
            <a:effectLst/>
          </c:spPr>
          <c:marker>
            <c:symbol val="none"/>
          </c:marker>
          <c:cat>
            <c:numRef>
              <c:f>'[índice de competitividad.xlsx]A'!$J$5:$L$5</c:f>
              <c:numCache>
                <c:formatCode>General</c:formatCode>
                <c:ptCount val="3"/>
                <c:pt idx="0">
                  <c:v>2018</c:v>
                </c:pt>
                <c:pt idx="1">
                  <c:v>2019</c:v>
                </c:pt>
                <c:pt idx="2">
                  <c:v>2020</c:v>
                </c:pt>
              </c:numCache>
            </c:numRef>
          </c:cat>
          <c:val>
            <c:numRef>
              <c:f>'[índice de competitividad.xlsx]A'!$J$6:$L$6</c:f>
              <c:numCache>
                <c:formatCode>0.00%</c:formatCode>
                <c:ptCount val="3"/>
                <c:pt idx="0">
                  <c:v>0.21044627239401023</c:v>
                </c:pt>
                <c:pt idx="1">
                  <c:v>0.22992471410080792</c:v>
                </c:pt>
                <c:pt idx="2">
                  <c:v>0.27607906161454748</c:v>
                </c:pt>
              </c:numCache>
            </c:numRef>
          </c:val>
          <c:smooth val="0"/>
          <c:extLst>
            <c:ext xmlns:c16="http://schemas.microsoft.com/office/drawing/2014/chart" uri="{C3380CC4-5D6E-409C-BE32-E72D297353CC}">
              <c16:uniqueId val="{00000000-1810-4903-B209-541C1614819F}"/>
            </c:ext>
          </c:extLst>
        </c:ser>
        <c:dLbls>
          <c:showLegendKey val="0"/>
          <c:showVal val="0"/>
          <c:showCatName val="0"/>
          <c:showSerName val="0"/>
          <c:showPercent val="0"/>
          <c:showBubbleSize val="0"/>
        </c:dLbls>
        <c:smooth val="0"/>
        <c:axId val="2009115344"/>
        <c:axId val="2009112016"/>
      </c:lineChart>
      <c:catAx>
        <c:axId val="2009115344"/>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AR"/>
          </a:p>
        </c:txPr>
        <c:crossAx val="2009112016"/>
        <c:crosses val="autoZero"/>
        <c:auto val="1"/>
        <c:lblAlgn val="ctr"/>
        <c:lblOffset val="100"/>
        <c:noMultiLvlLbl val="0"/>
      </c:catAx>
      <c:valAx>
        <c:axId val="2009112016"/>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AR"/>
          </a:p>
        </c:txPr>
        <c:crossAx val="2009115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A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4830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Maxi Figueroa Tomás</cp:lastModifiedBy>
  <cp:revision>2</cp:revision>
  <dcterms:created xsi:type="dcterms:W3CDTF">2021-03-08T13:30:00Z</dcterms:created>
  <dcterms:modified xsi:type="dcterms:W3CDTF">2021-03-08T13:30:00Z</dcterms:modified>
</cp:coreProperties>
</file>